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180EA" w14:textId="77777777" w:rsidR="003515DE" w:rsidRDefault="003515DE" w:rsidP="00AA2151">
      <w:pPr>
        <w:pStyle w:val="NoSpacing"/>
        <w:jc w:val="center"/>
        <w:rPr>
          <w:b/>
          <w:sz w:val="32"/>
          <w:szCs w:val="32"/>
        </w:rPr>
      </w:pPr>
    </w:p>
    <w:p w14:paraId="26F408B2" w14:textId="77777777" w:rsidR="003515DE" w:rsidRPr="003515DE" w:rsidRDefault="003515DE" w:rsidP="003515DE">
      <w:pPr>
        <w:pStyle w:val="NoSpacing"/>
        <w:jc w:val="center"/>
        <w:rPr>
          <w:b/>
          <w:sz w:val="96"/>
          <w:szCs w:val="96"/>
        </w:rPr>
      </w:pPr>
      <w:r w:rsidRPr="003515DE">
        <w:rPr>
          <w:b/>
          <w:sz w:val="96"/>
          <w:szCs w:val="96"/>
        </w:rPr>
        <w:t>St Seachnall’s NS</w:t>
      </w:r>
    </w:p>
    <w:p w14:paraId="2B5B410A" w14:textId="0D1325DA" w:rsidR="003515DE" w:rsidRDefault="003515DE" w:rsidP="00AA215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Main Street,</w:t>
      </w:r>
    </w:p>
    <w:p w14:paraId="7AFE691B" w14:textId="365C5D43" w:rsidR="003515DE" w:rsidRDefault="003515DE" w:rsidP="00AA215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Dunshaughlin,</w:t>
      </w:r>
    </w:p>
    <w:p w14:paraId="329FC52F" w14:textId="1A92CD93" w:rsidR="003515DE" w:rsidRDefault="003515DE" w:rsidP="00AA215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Co. Meath.</w:t>
      </w:r>
    </w:p>
    <w:p w14:paraId="1072AE3B" w14:textId="77777777" w:rsidR="003515DE" w:rsidRDefault="003515DE" w:rsidP="00AA2151">
      <w:pPr>
        <w:pStyle w:val="NoSpacing"/>
        <w:jc w:val="center"/>
        <w:rPr>
          <w:b/>
          <w:sz w:val="32"/>
          <w:szCs w:val="32"/>
        </w:rPr>
      </w:pPr>
    </w:p>
    <w:p w14:paraId="0CE54677" w14:textId="1B2CFA6C" w:rsidR="003515DE" w:rsidRDefault="003515DE" w:rsidP="00AA215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Roll No. 17930Q</w:t>
      </w:r>
    </w:p>
    <w:p w14:paraId="52CCF056" w14:textId="77777777" w:rsidR="003515DE" w:rsidRDefault="003515DE" w:rsidP="00AA2151">
      <w:pPr>
        <w:pStyle w:val="NoSpacing"/>
        <w:jc w:val="center"/>
        <w:rPr>
          <w:b/>
          <w:sz w:val="32"/>
          <w:szCs w:val="32"/>
        </w:rPr>
      </w:pPr>
    </w:p>
    <w:p w14:paraId="5D777EB3" w14:textId="77777777" w:rsidR="003515DE" w:rsidRDefault="003515DE" w:rsidP="00AA2151">
      <w:pPr>
        <w:pStyle w:val="NoSpacing"/>
        <w:jc w:val="center"/>
        <w:rPr>
          <w:b/>
          <w:sz w:val="32"/>
          <w:szCs w:val="32"/>
        </w:rPr>
      </w:pPr>
    </w:p>
    <w:p w14:paraId="4C44727E" w14:textId="77777777" w:rsidR="003515DE" w:rsidRDefault="003515DE" w:rsidP="00AA2151">
      <w:pPr>
        <w:pStyle w:val="NoSpacing"/>
        <w:jc w:val="center"/>
        <w:rPr>
          <w:b/>
          <w:sz w:val="32"/>
          <w:szCs w:val="32"/>
        </w:rPr>
      </w:pPr>
    </w:p>
    <w:p w14:paraId="78E920F7" w14:textId="1FA75D7E" w:rsidR="003515DE" w:rsidRDefault="003515DE" w:rsidP="00AA2151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 wp14:anchorId="7D5FD50D" wp14:editId="58BE69EE">
            <wp:extent cx="2162014" cy="2849601"/>
            <wp:effectExtent l="0" t="0" r="0" b="0"/>
            <wp:docPr id="1" name="Picture 1" descr="Macintosh HD:Users:jimgilligan:Desktop:St Seachnall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mgilligan:Desktop:St Seachnalls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53" cy="285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291BA" w14:textId="77777777" w:rsidR="003515DE" w:rsidRDefault="003515DE" w:rsidP="00AA2151">
      <w:pPr>
        <w:pStyle w:val="NoSpacing"/>
        <w:jc w:val="center"/>
        <w:rPr>
          <w:b/>
          <w:sz w:val="32"/>
          <w:szCs w:val="32"/>
        </w:rPr>
      </w:pPr>
    </w:p>
    <w:p w14:paraId="51BD58EC" w14:textId="77777777" w:rsidR="003515DE" w:rsidRDefault="003515DE" w:rsidP="00AA2151">
      <w:pPr>
        <w:pStyle w:val="NoSpacing"/>
        <w:jc w:val="center"/>
        <w:rPr>
          <w:b/>
          <w:sz w:val="32"/>
          <w:szCs w:val="32"/>
        </w:rPr>
      </w:pPr>
    </w:p>
    <w:p w14:paraId="68093318" w14:textId="77777777" w:rsidR="003515DE" w:rsidRDefault="003515DE" w:rsidP="00AA2151">
      <w:pPr>
        <w:pStyle w:val="NoSpacing"/>
        <w:jc w:val="center"/>
        <w:rPr>
          <w:b/>
          <w:sz w:val="32"/>
          <w:szCs w:val="32"/>
        </w:rPr>
      </w:pPr>
    </w:p>
    <w:p w14:paraId="43FA05FF" w14:textId="77777777" w:rsidR="003515DE" w:rsidRDefault="003515DE" w:rsidP="00AA2151">
      <w:pPr>
        <w:pStyle w:val="NoSpacing"/>
        <w:jc w:val="center"/>
        <w:rPr>
          <w:b/>
          <w:sz w:val="32"/>
          <w:szCs w:val="32"/>
        </w:rPr>
      </w:pPr>
    </w:p>
    <w:p w14:paraId="69C4DF27" w14:textId="77777777" w:rsidR="003515DE" w:rsidRDefault="003515DE" w:rsidP="00AA2151">
      <w:pPr>
        <w:pStyle w:val="NoSpacing"/>
        <w:jc w:val="center"/>
        <w:rPr>
          <w:b/>
          <w:sz w:val="32"/>
          <w:szCs w:val="32"/>
        </w:rPr>
      </w:pPr>
    </w:p>
    <w:p w14:paraId="546F62CB" w14:textId="77777777" w:rsidR="003515DE" w:rsidRPr="003515DE" w:rsidRDefault="003515DE" w:rsidP="003515DE">
      <w:pPr>
        <w:pStyle w:val="NoSpacing"/>
        <w:jc w:val="center"/>
        <w:rPr>
          <w:b/>
          <w:sz w:val="56"/>
          <w:szCs w:val="56"/>
        </w:rPr>
      </w:pPr>
      <w:r w:rsidRPr="003515DE">
        <w:rPr>
          <w:b/>
          <w:sz w:val="56"/>
          <w:szCs w:val="56"/>
        </w:rPr>
        <w:t xml:space="preserve">School Self Evaluation Report </w:t>
      </w:r>
    </w:p>
    <w:p w14:paraId="66DAE0AA" w14:textId="77777777" w:rsidR="003515DE" w:rsidRDefault="003515DE" w:rsidP="00AA2151">
      <w:pPr>
        <w:pStyle w:val="NoSpacing"/>
        <w:jc w:val="center"/>
        <w:rPr>
          <w:b/>
          <w:sz w:val="32"/>
          <w:szCs w:val="32"/>
        </w:rPr>
      </w:pPr>
    </w:p>
    <w:p w14:paraId="502DDACA" w14:textId="1BF2A8EE" w:rsidR="003515DE" w:rsidRDefault="003515DE" w:rsidP="00AA215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June 2014</w:t>
      </w:r>
    </w:p>
    <w:p w14:paraId="0A2F5772" w14:textId="77777777" w:rsidR="003515DE" w:rsidRDefault="003515DE" w:rsidP="00AA2151">
      <w:pPr>
        <w:pStyle w:val="NoSpacing"/>
        <w:jc w:val="center"/>
        <w:rPr>
          <w:b/>
          <w:sz w:val="32"/>
          <w:szCs w:val="32"/>
        </w:rPr>
      </w:pPr>
    </w:p>
    <w:p w14:paraId="553A5EA5" w14:textId="77777777" w:rsidR="003515DE" w:rsidRDefault="003515DE" w:rsidP="00AA2151">
      <w:pPr>
        <w:pStyle w:val="NoSpacing"/>
        <w:jc w:val="center"/>
        <w:rPr>
          <w:b/>
          <w:sz w:val="32"/>
          <w:szCs w:val="32"/>
        </w:rPr>
      </w:pPr>
    </w:p>
    <w:p w14:paraId="3B4DBC8E" w14:textId="77777777" w:rsidR="003515DE" w:rsidRDefault="003515DE" w:rsidP="00AA2151">
      <w:pPr>
        <w:pStyle w:val="NoSpacing"/>
        <w:jc w:val="center"/>
        <w:rPr>
          <w:b/>
          <w:sz w:val="32"/>
          <w:szCs w:val="32"/>
        </w:rPr>
      </w:pPr>
    </w:p>
    <w:p w14:paraId="4747614A" w14:textId="77777777" w:rsidR="003515DE" w:rsidRDefault="003515DE" w:rsidP="00AA2151">
      <w:pPr>
        <w:pStyle w:val="NoSpacing"/>
        <w:jc w:val="center"/>
        <w:rPr>
          <w:b/>
          <w:sz w:val="32"/>
          <w:szCs w:val="32"/>
        </w:rPr>
      </w:pPr>
    </w:p>
    <w:p w14:paraId="0C282118" w14:textId="77777777" w:rsidR="003515DE" w:rsidRDefault="003515DE" w:rsidP="003515DE">
      <w:pPr>
        <w:pStyle w:val="NoSpacing"/>
        <w:rPr>
          <w:b/>
          <w:sz w:val="32"/>
          <w:szCs w:val="32"/>
        </w:rPr>
      </w:pPr>
      <w:bookmarkStart w:id="0" w:name="_GoBack"/>
      <w:bookmarkEnd w:id="0"/>
    </w:p>
    <w:p w14:paraId="30475A8B" w14:textId="77777777" w:rsidR="003515DE" w:rsidRDefault="003515DE" w:rsidP="00AA2151">
      <w:pPr>
        <w:pStyle w:val="NoSpacing"/>
        <w:jc w:val="center"/>
        <w:rPr>
          <w:b/>
          <w:sz w:val="32"/>
          <w:szCs w:val="32"/>
        </w:rPr>
      </w:pPr>
    </w:p>
    <w:p w14:paraId="3C6960DC" w14:textId="77777777" w:rsidR="003515DE" w:rsidRDefault="003515DE" w:rsidP="00AA2151">
      <w:pPr>
        <w:pStyle w:val="NoSpacing"/>
        <w:jc w:val="center"/>
        <w:rPr>
          <w:b/>
          <w:sz w:val="32"/>
          <w:szCs w:val="32"/>
        </w:rPr>
      </w:pPr>
    </w:p>
    <w:p w14:paraId="4C87208B" w14:textId="77777777" w:rsidR="00591AFF" w:rsidRPr="00AA2151" w:rsidRDefault="00591AFF" w:rsidP="00AA2151">
      <w:pPr>
        <w:pStyle w:val="NoSpacing"/>
        <w:jc w:val="center"/>
        <w:rPr>
          <w:b/>
          <w:sz w:val="32"/>
          <w:szCs w:val="32"/>
        </w:rPr>
      </w:pPr>
      <w:r w:rsidRPr="00AA2151">
        <w:rPr>
          <w:b/>
          <w:sz w:val="32"/>
          <w:szCs w:val="32"/>
        </w:rPr>
        <w:t>St Seachnall’s NS</w:t>
      </w:r>
    </w:p>
    <w:p w14:paraId="76F84724" w14:textId="77777777" w:rsidR="00591AFF" w:rsidRPr="00AA2151" w:rsidRDefault="00591AFF" w:rsidP="00AA2151">
      <w:pPr>
        <w:pStyle w:val="NoSpacing"/>
        <w:jc w:val="center"/>
        <w:rPr>
          <w:b/>
          <w:sz w:val="32"/>
          <w:szCs w:val="32"/>
        </w:rPr>
      </w:pPr>
      <w:r w:rsidRPr="00AA2151">
        <w:rPr>
          <w:b/>
          <w:sz w:val="32"/>
          <w:szCs w:val="32"/>
        </w:rPr>
        <w:t>School Self Evaluation Report</w:t>
      </w:r>
      <w:r w:rsidR="00544495" w:rsidRPr="00AA2151">
        <w:rPr>
          <w:b/>
          <w:sz w:val="32"/>
          <w:szCs w:val="32"/>
        </w:rPr>
        <w:t xml:space="preserve"> </w:t>
      </w:r>
    </w:p>
    <w:p w14:paraId="2DCE1755" w14:textId="77777777" w:rsidR="00591AFF" w:rsidRPr="00BE37E4" w:rsidRDefault="00591AFF" w:rsidP="00591AFF">
      <w:pPr>
        <w:rPr>
          <w:b/>
          <w:sz w:val="24"/>
          <w:u w:val="single"/>
        </w:rPr>
      </w:pPr>
      <w:r w:rsidRPr="00BE37E4">
        <w:rPr>
          <w:b/>
          <w:sz w:val="24"/>
          <w:u w:val="single"/>
        </w:rPr>
        <w:t>Introduction</w:t>
      </w:r>
    </w:p>
    <w:p w14:paraId="5661D70B" w14:textId="77777777" w:rsidR="00591AFF" w:rsidRPr="00BE37E4" w:rsidRDefault="00591AFF" w:rsidP="00C175EE">
      <w:pPr>
        <w:jc w:val="both"/>
      </w:pPr>
      <w:r w:rsidRPr="00BE37E4">
        <w:t xml:space="preserve">A school self evaluation of teaching and learning in St </w:t>
      </w:r>
      <w:r w:rsidR="002E395C">
        <w:t xml:space="preserve">Seachnall’s NS, Dunshaughlin was </w:t>
      </w:r>
      <w:r w:rsidRPr="00BE37E4">
        <w:t xml:space="preserve">undertaken during May and June 2014. During the evaluation teaching and learning in </w:t>
      </w:r>
      <w:r w:rsidR="00544495">
        <w:t>n</w:t>
      </w:r>
      <w:r w:rsidR="00544495" w:rsidRPr="00BE37E4">
        <w:t>umeracy</w:t>
      </w:r>
      <w:r w:rsidR="00544495">
        <w:t xml:space="preserve"> was </w:t>
      </w:r>
      <w:r w:rsidRPr="00BE37E4">
        <w:t>evaluated.</w:t>
      </w:r>
    </w:p>
    <w:p w14:paraId="02839F8F" w14:textId="77777777" w:rsidR="00591AFF" w:rsidRPr="00BE37E4" w:rsidRDefault="00591AFF" w:rsidP="002E395C">
      <w:pPr>
        <w:jc w:val="both"/>
      </w:pPr>
      <w:r w:rsidRPr="00BE37E4">
        <w:t xml:space="preserve">Parents were </w:t>
      </w:r>
      <w:r w:rsidR="002E395C">
        <w:t>surveyed to get their views on their chil</w:t>
      </w:r>
      <w:r w:rsidR="00C175EE">
        <w:t>d</w:t>
      </w:r>
      <w:r w:rsidR="002E395C">
        <w:t xml:space="preserve">(ren)’s progress and attitude to Mathematics </w:t>
      </w:r>
      <w:r w:rsidRPr="00BE37E4">
        <w:t xml:space="preserve">and were asked to identify </w:t>
      </w:r>
      <w:r w:rsidR="00BC755F">
        <w:t xml:space="preserve">how </w:t>
      </w:r>
      <w:r w:rsidRPr="00BE37E4">
        <w:t xml:space="preserve">the school </w:t>
      </w:r>
      <w:r w:rsidR="002E395C">
        <w:t xml:space="preserve">could help their children with Mathematics. </w:t>
      </w:r>
    </w:p>
    <w:p w14:paraId="0E8CED45" w14:textId="77777777" w:rsidR="00591AFF" w:rsidRPr="00BE37E4" w:rsidRDefault="00591AFF" w:rsidP="002E395C">
      <w:pPr>
        <w:jc w:val="both"/>
      </w:pPr>
      <w:r w:rsidRPr="00BE37E4">
        <w:t>The following sources of evidence were used to compile the findings of this report:</w:t>
      </w:r>
    </w:p>
    <w:p w14:paraId="4F772C03" w14:textId="77777777" w:rsidR="002E395C" w:rsidRDefault="002E395C" w:rsidP="002E395C">
      <w:pPr>
        <w:pStyle w:val="ListParagraph"/>
        <w:numPr>
          <w:ilvl w:val="0"/>
          <w:numId w:val="3"/>
        </w:numPr>
        <w:jc w:val="both"/>
      </w:pPr>
      <w:r>
        <w:t>Standardized test outcomes</w:t>
      </w:r>
    </w:p>
    <w:p w14:paraId="29E0458F" w14:textId="77777777" w:rsidR="00591AFF" w:rsidRPr="00BE37E4" w:rsidRDefault="00591AFF" w:rsidP="002E395C">
      <w:pPr>
        <w:pStyle w:val="ListParagraph"/>
        <w:numPr>
          <w:ilvl w:val="0"/>
          <w:numId w:val="3"/>
        </w:numPr>
        <w:jc w:val="both"/>
      </w:pPr>
      <w:r w:rsidRPr="00BE37E4">
        <w:t>Pupils</w:t>
      </w:r>
      <w:r w:rsidR="002E395C">
        <w:t>’</w:t>
      </w:r>
      <w:r w:rsidRPr="00BE37E4">
        <w:t xml:space="preserve"> </w:t>
      </w:r>
      <w:r w:rsidR="002E395C">
        <w:t>work – samples, copies</w:t>
      </w:r>
      <w:r w:rsidRPr="00BE37E4">
        <w:t>.</w:t>
      </w:r>
    </w:p>
    <w:p w14:paraId="1BD949F4" w14:textId="77777777" w:rsidR="002E395C" w:rsidRDefault="002E395C" w:rsidP="002E395C">
      <w:pPr>
        <w:pStyle w:val="ListParagraph"/>
        <w:numPr>
          <w:ilvl w:val="0"/>
          <w:numId w:val="3"/>
        </w:numPr>
        <w:jc w:val="both"/>
      </w:pPr>
      <w:r>
        <w:t>Class teachers</w:t>
      </w:r>
      <w:r w:rsidR="00C175EE">
        <w:t>’</w:t>
      </w:r>
      <w:r>
        <w:t xml:space="preserve"> observations</w:t>
      </w:r>
    </w:p>
    <w:p w14:paraId="79F6E8A8" w14:textId="77777777" w:rsidR="00591AFF" w:rsidRPr="00BE37E4" w:rsidRDefault="00591AFF" w:rsidP="002E395C">
      <w:pPr>
        <w:pStyle w:val="ListParagraph"/>
        <w:numPr>
          <w:ilvl w:val="0"/>
          <w:numId w:val="3"/>
        </w:numPr>
        <w:jc w:val="both"/>
      </w:pPr>
      <w:r w:rsidRPr="00BE37E4">
        <w:t>The Learning Support team</w:t>
      </w:r>
      <w:r w:rsidR="00C175EE">
        <w:t>’s</w:t>
      </w:r>
      <w:r w:rsidRPr="00BE37E4">
        <w:t xml:space="preserve"> observations.</w:t>
      </w:r>
    </w:p>
    <w:p w14:paraId="10487F21" w14:textId="77777777" w:rsidR="00591AFF" w:rsidRPr="00BE37E4" w:rsidRDefault="00591AFF" w:rsidP="002E395C">
      <w:pPr>
        <w:pStyle w:val="ListParagraph"/>
        <w:numPr>
          <w:ilvl w:val="0"/>
          <w:numId w:val="3"/>
        </w:numPr>
        <w:jc w:val="both"/>
      </w:pPr>
      <w:r w:rsidRPr="00BE37E4">
        <w:t>Parental Questionnaires</w:t>
      </w:r>
    </w:p>
    <w:p w14:paraId="4841BF79" w14:textId="77777777" w:rsidR="00591AFF" w:rsidRPr="00BE37E4" w:rsidRDefault="00591AFF" w:rsidP="002E395C">
      <w:pPr>
        <w:pStyle w:val="ListParagraph"/>
        <w:numPr>
          <w:ilvl w:val="0"/>
          <w:numId w:val="3"/>
        </w:numPr>
        <w:jc w:val="both"/>
      </w:pPr>
      <w:r w:rsidRPr="00BE37E4">
        <w:t>Pupil Questionnaires – third to sixth class.</w:t>
      </w:r>
    </w:p>
    <w:p w14:paraId="1D5B5E6D" w14:textId="77777777" w:rsidR="00591AFF" w:rsidRPr="00BE37E4" w:rsidRDefault="00591AFF" w:rsidP="002E395C">
      <w:pPr>
        <w:jc w:val="both"/>
      </w:pPr>
      <w:r w:rsidRPr="00BE37E4">
        <w:t>This is a report on the findings of the evaluation.</w:t>
      </w:r>
    </w:p>
    <w:p w14:paraId="55422A6D" w14:textId="77777777" w:rsidR="00591AFF" w:rsidRPr="00BE37E4" w:rsidRDefault="00591AFF" w:rsidP="002E395C">
      <w:pPr>
        <w:jc w:val="both"/>
      </w:pPr>
    </w:p>
    <w:p w14:paraId="66628597" w14:textId="77777777" w:rsidR="00591AFF" w:rsidRPr="00BE37E4" w:rsidRDefault="00591AFF" w:rsidP="002E395C">
      <w:pPr>
        <w:jc w:val="both"/>
        <w:rPr>
          <w:b/>
          <w:sz w:val="24"/>
          <w:u w:val="single"/>
        </w:rPr>
      </w:pPr>
      <w:r w:rsidRPr="00BE37E4">
        <w:rPr>
          <w:b/>
          <w:sz w:val="24"/>
          <w:u w:val="single"/>
        </w:rPr>
        <w:t>The School Context.</w:t>
      </w:r>
    </w:p>
    <w:p w14:paraId="6CABE491" w14:textId="77777777" w:rsidR="00591AFF" w:rsidRPr="00BE37E4" w:rsidRDefault="00591AFF" w:rsidP="002E395C">
      <w:pPr>
        <w:pStyle w:val="NoSpacing"/>
        <w:jc w:val="both"/>
        <w:rPr>
          <w:lang w:val="en-GB"/>
        </w:rPr>
      </w:pPr>
      <w:r w:rsidRPr="00BE37E4">
        <w:rPr>
          <w:lang w:val="en-GB"/>
        </w:rPr>
        <w:t>Patron:</w:t>
      </w:r>
      <w:r w:rsidRPr="00BE37E4">
        <w:rPr>
          <w:lang w:val="en-GB"/>
        </w:rPr>
        <w:tab/>
      </w:r>
      <w:r w:rsidRPr="00BE37E4">
        <w:rPr>
          <w:lang w:val="en-GB"/>
        </w:rPr>
        <w:tab/>
      </w:r>
      <w:r w:rsidR="002E395C">
        <w:rPr>
          <w:lang w:val="en-GB"/>
        </w:rPr>
        <w:tab/>
      </w:r>
      <w:r w:rsidRPr="00BE37E4">
        <w:rPr>
          <w:lang w:val="en-GB"/>
        </w:rPr>
        <w:t>Bishop Michael Smyth, Catholic Bishop of Meath</w:t>
      </w:r>
    </w:p>
    <w:p w14:paraId="196C9267" w14:textId="77777777" w:rsidR="00591AFF" w:rsidRPr="00BE37E4" w:rsidRDefault="00591AFF" w:rsidP="002E395C">
      <w:pPr>
        <w:pStyle w:val="NoSpacing"/>
        <w:jc w:val="both"/>
        <w:rPr>
          <w:lang w:val="en-GB"/>
        </w:rPr>
      </w:pPr>
      <w:r w:rsidRPr="00BE37E4">
        <w:rPr>
          <w:lang w:val="en-GB"/>
        </w:rPr>
        <w:t xml:space="preserve">Chairperson: </w:t>
      </w:r>
      <w:r w:rsidRPr="00BE37E4">
        <w:rPr>
          <w:lang w:val="en-GB"/>
        </w:rPr>
        <w:tab/>
      </w:r>
      <w:r w:rsidR="002E395C">
        <w:rPr>
          <w:lang w:val="en-GB"/>
        </w:rPr>
        <w:tab/>
      </w:r>
      <w:r w:rsidRPr="00BE37E4">
        <w:rPr>
          <w:lang w:val="en-GB"/>
        </w:rPr>
        <w:t xml:space="preserve">Rev. Joseph </w:t>
      </w:r>
      <w:r w:rsidR="0062667D" w:rsidRPr="00BE37E4">
        <w:rPr>
          <w:lang w:val="en-GB"/>
        </w:rPr>
        <w:t>Clavin, PP</w:t>
      </w:r>
    </w:p>
    <w:p w14:paraId="7539397B" w14:textId="77777777" w:rsidR="00591AFF" w:rsidRPr="00BE37E4" w:rsidRDefault="00591AFF" w:rsidP="002E395C">
      <w:pPr>
        <w:pStyle w:val="NoSpacing"/>
        <w:jc w:val="both"/>
        <w:rPr>
          <w:lang w:val="en-GB"/>
        </w:rPr>
      </w:pPr>
      <w:r w:rsidRPr="00BE37E4">
        <w:rPr>
          <w:lang w:val="en-GB"/>
        </w:rPr>
        <w:t xml:space="preserve">Principal: </w:t>
      </w:r>
      <w:r w:rsidRPr="00BE37E4">
        <w:rPr>
          <w:lang w:val="en-GB"/>
        </w:rPr>
        <w:tab/>
      </w:r>
      <w:r w:rsidR="002E395C">
        <w:rPr>
          <w:lang w:val="en-GB"/>
        </w:rPr>
        <w:tab/>
      </w:r>
      <w:r w:rsidR="0062667D" w:rsidRPr="00BE37E4">
        <w:rPr>
          <w:lang w:val="en-GB"/>
        </w:rPr>
        <w:t>Jim Gilligan</w:t>
      </w:r>
    </w:p>
    <w:p w14:paraId="2F5F0923" w14:textId="77777777" w:rsidR="0062667D" w:rsidRPr="00BE37E4" w:rsidRDefault="00591AFF" w:rsidP="002E395C">
      <w:pPr>
        <w:pStyle w:val="NoSpacing"/>
        <w:ind w:left="2160" w:hanging="2160"/>
        <w:jc w:val="both"/>
        <w:rPr>
          <w:lang w:val="en-GB"/>
        </w:rPr>
      </w:pPr>
      <w:r w:rsidRPr="00BE37E4">
        <w:rPr>
          <w:lang w:val="en-GB"/>
        </w:rPr>
        <w:t>Sta</w:t>
      </w:r>
      <w:r w:rsidR="00AA2151">
        <w:rPr>
          <w:lang w:val="en-GB"/>
        </w:rPr>
        <w:t xml:space="preserve">ff: </w:t>
      </w:r>
      <w:r w:rsidR="00AA2151">
        <w:rPr>
          <w:lang w:val="en-GB"/>
        </w:rPr>
        <w:tab/>
        <w:t>19</w:t>
      </w:r>
      <w:r w:rsidRPr="00BE37E4">
        <w:rPr>
          <w:lang w:val="en-GB"/>
        </w:rPr>
        <w:t xml:space="preserve"> </w:t>
      </w:r>
      <w:r w:rsidR="002E395C">
        <w:rPr>
          <w:lang w:val="en-GB"/>
        </w:rPr>
        <w:t xml:space="preserve">Mainstream class teachers, </w:t>
      </w:r>
      <w:r w:rsidR="0062667D" w:rsidRPr="00BE37E4">
        <w:rPr>
          <w:lang w:val="en-GB"/>
        </w:rPr>
        <w:t>6</w:t>
      </w:r>
      <w:r w:rsidRPr="00BE37E4">
        <w:rPr>
          <w:lang w:val="en-GB"/>
        </w:rPr>
        <w:t xml:space="preserve"> Learning support</w:t>
      </w:r>
      <w:r w:rsidR="0062667D" w:rsidRPr="00BE37E4">
        <w:rPr>
          <w:lang w:val="en-GB"/>
        </w:rPr>
        <w:t>/resource</w:t>
      </w:r>
      <w:r w:rsidRPr="00BE37E4">
        <w:rPr>
          <w:lang w:val="en-GB"/>
        </w:rPr>
        <w:t xml:space="preserve"> teachers</w:t>
      </w:r>
      <w:r w:rsidR="0062667D" w:rsidRPr="00BE37E4">
        <w:rPr>
          <w:lang w:val="en-GB"/>
        </w:rPr>
        <w:t>, 2.5 SNAs and 2 part-time Classroom Assistants employed by the Board of Management.</w:t>
      </w:r>
      <w:r w:rsidRPr="00BE37E4">
        <w:rPr>
          <w:lang w:val="en-GB"/>
        </w:rPr>
        <w:t xml:space="preserve"> </w:t>
      </w:r>
    </w:p>
    <w:p w14:paraId="6BEE5B74" w14:textId="77777777" w:rsidR="00591AFF" w:rsidRPr="00BE37E4" w:rsidRDefault="0062667D" w:rsidP="002E395C">
      <w:pPr>
        <w:pStyle w:val="NoSpacing"/>
        <w:ind w:left="1440" w:hanging="1440"/>
        <w:jc w:val="both"/>
        <w:rPr>
          <w:lang w:val="en-GB"/>
        </w:rPr>
      </w:pPr>
      <w:r w:rsidRPr="00BE37E4">
        <w:rPr>
          <w:lang w:val="en-GB"/>
        </w:rPr>
        <w:t>Pupils:</w:t>
      </w:r>
      <w:r w:rsidRPr="00BE37E4">
        <w:rPr>
          <w:lang w:val="en-GB"/>
        </w:rPr>
        <w:tab/>
      </w:r>
      <w:r w:rsidR="002E395C">
        <w:rPr>
          <w:lang w:val="en-GB"/>
        </w:rPr>
        <w:tab/>
      </w:r>
      <w:r w:rsidR="0027426C">
        <w:rPr>
          <w:lang w:val="en-GB"/>
        </w:rPr>
        <w:t xml:space="preserve">515 pupils, </w:t>
      </w:r>
      <w:r w:rsidRPr="00BE37E4">
        <w:rPr>
          <w:lang w:val="en-GB"/>
        </w:rPr>
        <w:t xml:space="preserve">boys and </w:t>
      </w:r>
      <w:r w:rsidR="00591AFF" w:rsidRPr="00BE37E4">
        <w:rPr>
          <w:lang w:val="en-GB"/>
        </w:rPr>
        <w:t>girls, from Junior Infants to Sixth Class</w:t>
      </w:r>
    </w:p>
    <w:p w14:paraId="323765E1" w14:textId="77777777" w:rsidR="00591AFF" w:rsidRPr="00BE37E4" w:rsidRDefault="00591AFF" w:rsidP="002E395C">
      <w:pPr>
        <w:pStyle w:val="NoSpacing"/>
        <w:jc w:val="both"/>
        <w:rPr>
          <w:lang w:val="en-GB"/>
        </w:rPr>
      </w:pPr>
      <w:r w:rsidRPr="00BE37E4">
        <w:rPr>
          <w:lang w:val="en-GB"/>
        </w:rPr>
        <w:t>Website:</w:t>
      </w:r>
      <w:r w:rsidRPr="00BE37E4">
        <w:rPr>
          <w:lang w:val="en-GB"/>
        </w:rPr>
        <w:tab/>
      </w:r>
      <w:r w:rsidR="002E395C">
        <w:rPr>
          <w:lang w:val="en-GB"/>
        </w:rPr>
        <w:tab/>
      </w:r>
      <w:r w:rsidR="0062667D" w:rsidRPr="00BE37E4">
        <w:rPr>
          <w:szCs w:val="24"/>
          <w:lang w:val="en-GB"/>
        </w:rPr>
        <w:t>www.stseachnalls.ie</w:t>
      </w:r>
    </w:p>
    <w:p w14:paraId="124C4295" w14:textId="77777777" w:rsidR="00591AFF" w:rsidRPr="00BE37E4" w:rsidRDefault="00591AFF" w:rsidP="002E395C">
      <w:pPr>
        <w:pStyle w:val="NoSpacing"/>
        <w:ind w:left="2160" w:hanging="2160"/>
        <w:jc w:val="both"/>
        <w:rPr>
          <w:szCs w:val="24"/>
          <w:lang w:val="en-GB"/>
        </w:rPr>
      </w:pPr>
      <w:r w:rsidRPr="00BE37E4">
        <w:rPr>
          <w:szCs w:val="24"/>
          <w:lang w:val="en-GB"/>
        </w:rPr>
        <w:t>School Growth:</w:t>
      </w:r>
      <w:r w:rsidRPr="00BE37E4">
        <w:rPr>
          <w:szCs w:val="24"/>
          <w:lang w:val="en-GB"/>
        </w:rPr>
        <w:tab/>
        <w:t xml:space="preserve">Our school community has grown </w:t>
      </w:r>
      <w:r w:rsidR="0062667D" w:rsidRPr="00BE37E4">
        <w:rPr>
          <w:szCs w:val="24"/>
          <w:lang w:val="en-GB"/>
        </w:rPr>
        <w:t xml:space="preserve">substantially over the last decade, from 300 in 1999-2000 </w:t>
      </w:r>
      <w:r w:rsidRPr="00BE37E4">
        <w:rPr>
          <w:szCs w:val="24"/>
          <w:lang w:val="en-GB"/>
        </w:rPr>
        <w:t xml:space="preserve">to the current level of </w:t>
      </w:r>
      <w:r w:rsidR="0062667D" w:rsidRPr="00BE37E4">
        <w:rPr>
          <w:szCs w:val="24"/>
          <w:lang w:val="en-GB"/>
        </w:rPr>
        <w:t>515</w:t>
      </w:r>
      <w:r w:rsidRPr="00BE37E4">
        <w:rPr>
          <w:szCs w:val="24"/>
          <w:lang w:val="en-GB"/>
        </w:rPr>
        <w:t xml:space="preserve">. </w:t>
      </w:r>
    </w:p>
    <w:p w14:paraId="12A2F971" w14:textId="77777777" w:rsidR="006F7145" w:rsidRPr="00BE37E4" w:rsidRDefault="003B0212" w:rsidP="006F7145">
      <w:pPr>
        <w:pStyle w:val="NoSpacing"/>
        <w:ind w:left="2160" w:hanging="2160"/>
        <w:jc w:val="both"/>
        <w:rPr>
          <w:szCs w:val="24"/>
          <w:lang w:val="en-GB"/>
        </w:rPr>
      </w:pPr>
      <w:r w:rsidRPr="00BE37E4">
        <w:rPr>
          <w:szCs w:val="24"/>
          <w:lang w:val="en-GB"/>
        </w:rPr>
        <w:t>Awards:</w:t>
      </w:r>
      <w:r w:rsidRPr="00BE37E4">
        <w:rPr>
          <w:szCs w:val="24"/>
          <w:lang w:val="en-GB"/>
        </w:rPr>
        <w:tab/>
        <w:t>We have 4</w:t>
      </w:r>
      <w:r w:rsidR="00591AFF" w:rsidRPr="00BE37E4">
        <w:rPr>
          <w:szCs w:val="24"/>
          <w:lang w:val="en-GB"/>
        </w:rPr>
        <w:t xml:space="preserve"> Green Flag Awards, </w:t>
      </w:r>
      <w:r w:rsidR="00AA2151">
        <w:rPr>
          <w:szCs w:val="24"/>
          <w:lang w:val="en-GB"/>
        </w:rPr>
        <w:t>Intel Mini Scientist Awards and</w:t>
      </w:r>
      <w:r w:rsidR="006F7145">
        <w:rPr>
          <w:szCs w:val="24"/>
          <w:lang w:val="en-GB"/>
        </w:rPr>
        <w:t xml:space="preserve"> </w:t>
      </w:r>
      <w:r w:rsidR="002F4017">
        <w:rPr>
          <w:szCs w:val="24"/>
          <w:lang w:val="en-GB"/>
        </w:rPr>
        <w:t>Credit Union Quiz</w:t>
      </w:r>
      <w:r w:rsidR="00AA2151">
        <w:rPr>
          <w:szCs w:val="24"/>
          <w:lang w:val="en-GB"/>
        </w:rPr>
        <w:t xml:space="preserve"> wins</w:t>
      </w:r>
      <w:r w:rsidR="002F4017">
        <w:rPr>
          <w:szCs w:val="24"/>
          <w:lang w:val="en-GB"/>
        </w:rPr>
        <w:t xml:space="preserve">. In past two years </w:t>
      </w:r>
      <w:r w:rsidR="00AA2151">
        <w:rPr>
          <w:szCs w:val="24"/>
          <w:lang w:val="en-GB"/>
        </w:rPr>
        <w:t xml:space="preserve">the </w:t>
      </w:r>
      <w:r w:rsidR="002F4017">
        <w:rPr>
          <w:szCs w:val="24"/>
          <w:lang w:val="en-GB"/>
        </w:rPr>
        <w:t>Girls</w:t>
      </w:r>
      <w:r w:rsidR="00AA2151">
        <w:rPr>
          <w:szCs w:val="24"/>
          <w:lang w:val="en-GB"/>
        </w:rPr>
        <w:t>’</w:t>
      </w:r>
      <w:r w:rsidR="002F4017">
        <w:rPr>
          <w:szCs w:val="24"/>
          <w:lang w:val="en-GB"/>
        </w:rPr>
        <w:t xml:space="preserve"> team has won </w:t>
      </w:r>
      <w:r w:rsidR="00AA2151">
        <w:rPr>
          <w:szCs w:val="24"/>
          <w:lang w:val="en-GB"/>
        </w:rPr>
        <w:t xml:space="preserve">the </w:t>
      </w:r>
      <w:r w:rsidR="002F4017">
        <w:rPr>
          <w:szCs w:val="24"/>
          <w:lang w:val="en-GB"/>
        </w:rPr>
        <w:t xml:space="preserve">Fingal and Meath GAA Leagues, </w:t>
      </w:r>
      <w:r w:rsidR="00AA2151">
        <w:rPr>
          <w:szCs w:val="24"/>
          <w:lang w:val="en-GB"/>
        </w:rPr>
        <w:t xml:space="preserve">the </w:t>
      </w:r>
      <w:r w:rsidR="002F4017">
        <w:rPr>
          <w:szCs w:val="24"/>
          <w:lang w:val="en-GB"/>
        </w:rPr>
        <w:t xml:space="preserve">Boys have won </w:t>
      </w:r>
      <w:r w:rsidR="00AA2151">
        <w:rPr>
          <w:szCs w:val="24"/>
          <w:lang w:val="en-GB"/>
        </w:rPr>
        <w:t xml:space="preserve">the </w:t>
      </w:r>
      <w:r w:rsidR="002F4017">
        <w:rPr>
          <w:szCs w:val="24"/>
          <w:lang w:val="en-GB"/>
        </w:rPr>
        <w:t xml:space="preserve">Fingal League. Girls have been Meath and North Leinster Soccer 5-a-side champions </w:t>
      </w:r>
      <w:r w:rsidR="0098286D">
        <w:rPr>
          <w:szCs w:val="24"/>
          <w:lang w:val="en-GB"/>
        </w:rPr>
        <w:t>in both years.</w:t>
      </w:r>
      <w:r w:rsidR="006F7145">
        <w:rPr>
          <w:szCs w:val="24"/>
          <w:lang w:val="en-GB"/>
        </w:rPr>
        <w:t xml:space="preserve"> </w:t>
      </w:r>
    </w:p>
    <w:p w14:paraId="11481715" w14:textId="77777777" w:rsidR="000F1242" w:rsidRDefault="000F1242" w:rsidP="0027426C">
      <w:pPr>
        <w:pStyle w:val="NoSpacing"/>
        <w:jc w:val="both"/>
        <w:rPr>
          <w:lang w:val="en-GB"/>
        </w:rPr>
      </w:pPr>
    </w:p>
    <w:p w14:paraId="15AA287E" w14:textId="77777777" w:rsidR="0027426C" w:rsidRDefault="000F1242" w:rsidP="0027426C">
      <w:pPr>
        <w:pStyle w:val="NoSpacing"/>
        <w:jc w:val="both"/>
        <w:rPr>
          <w:lang w:val="en-GB"/>
        </w:rPr>
      </w:pPr>
      <w:r>
        <w:rPr>
          <w:lang w:val="en-GB"/>
        </w:rPr>
        <w:t>Initiatives:</w:t>
      </w:r>
    </w:p>
    <w:p w14:paraId="3BE03587" w14:textId="77777777" w:rsidR="00537EA6" w:rsidRDefault="00537EA6" w:rsidP="0027426C">
      <w:pPr>
        <w:pStyle w:val="NoSpacing"/>
        <w:numPr>
          <w:ilvl w:val="3"/>
          <w:numId w:val="15"/>
        </w:numPr>
        <w:jc w:val="both"/>
        <w:rPr>
          <w:lang w:val="en-GB"/>
        </w:rPr>
      </w:pPr>
      <w:r>
        <w:rPr>
          <w:lang w:val="en-GB"/>
        </w:rPr>
        <w:t>Four Green Flags for Litter &amp; Waste, Energy, Water and Travel</w:t>
      </w:r>
    </w:p>
    <w:p w14:paraId="23724806" w14:textId="77777777" w:rsidR="0027426C" w:rsidRDefault="00AA2151" w:rsidP="0027426C">
      <w:pPr>
        <w:pStyle w:val="NoSpacing"/>
        <w:numPr>
          <w:ilvl w:val="3"/>
          <w:numId w:val="15"/>
        </w:numPr>
        <w:jc w:val="both"/>
        <w:rPr>
          <w:lang w:val="en-GB"/>
        </w:rPr>
      </w:pPr>
      <w:r>
        <w:rPr>
          <w:lang w:val="en-GB"/>
        </w:rPr>
        <w:t>Literacy Lift Off</w:t>
      </w:r>
      <w:r w:rsidR="003B0212" w:rsidRPr="00BE37E4">
        <w:rPr>
          <w:lang w:val="en-GB"/>
        </w:rPr>
        <w:t xml:space="preserve"> </w:t>
      </w:r>
    </w:p>
    <w:p w14:paraId="7241C8B2" w14:textId="77777777" w:rsidR="0027426C" w:rsidRDefault="006F7145" w:rsidP="0027426C">
      <w:pPr>
        <w:pStyle w:val="NoSpacing"/>
        <w:numPr>
          <w:ilvl w:val="3"/>
          <w:numId w:val="15"/>
        </w:numPr>
        <w:jc w:val="both"/>
        <w:rPr>
          <w:lang w:val="en-GB"/>
        </w:rPr>
      </w:pPr>
      <w:r>
        <w:rPr>
          <w:lang w:val="en-GB"/>
        </w:rPr>
        <w:lastRenderedPageBreak/>
        <w:t xml:space="preserve">Buddies System to pair senior </w:t>
      </w:r>
      <w:r w:rsidR="00AA2151">
        <w:rPr>
          <w:lang w:val="en-GB"/>
        </w:rPr>
        <w:t>pupils with pupils in infant classes</w:t>
      </w:r>
      <w:r>
        <w:rPr>
          <w:lang w:val="en-GB"/>
        </w:rPr>
        <w:t xml:space="preserve"> </w:t>
      </w:r>
    </w:p>
    <w:p w14:paraId="60BD4F8B" w14:textId="77777777" w:rsidR="0027426C" w:rsidRDefault="003B50A6" w:rsidP="0027426C">
      <w:pPr>
        <w:pStyle w:val="NoSpacing"/>
        <w:numPr>
          <w:ilvl w:val="3"/>
          <w:numId w:val="15"/>
        </w:numPr>
        <w:jc w:val="both"/>
        <w:rPr>
          <w:lang w:val="en-GB"/>
        </w:rPr>
      </w:pPr>
      <w:r>
        <w:rPr>
          <w:lang w:val="en-GB"/>
        </w:rPr>
        <w:t xml:space="preserve">School </w:t>
      </w:r>
      <w:r w:rsidR="003B0212" w:rsidRPr="00BE37E4">
        <w:rPr>
          <w:lang w:val="en-GB"/>
        </w:rPr>
        <w:t>Gae</w:t>
      </w:r>
      <w:r w:rsidR="00AA2151">
        <w:rPr>
          <w:lang w:val="en-GB"/>
        </w:rPr>
        <w:t>lic Football and Soccer Leagues</w:t>
      </w:r>
      <w:r w:rsidR="003B0212" w:rsidRPr="00BE37E4">
        <w:rPr>
          <w:lang w:val="en-GB"/>
        </w:rPr>
        <w:t xml:space="preserve"> </w:t>
      </w:r>
    </w:p>
    <w:p w14:paraId="59A18380" w14:textId="77777777" w:rsidR="003B50A6" w:rsidRDefault="003B50A6" w:rsidP="0027426C">
      <w:pPr>
        <w:pStyle w:val="NoSpacing"/>
        <w:numPr>
          <w:ilvl w:val="3"/>
          <w:numId w:val="15"/>
        </w:numPr>
        <w:jc w:val="both"/>
        <w:rPr>
          <w:lang w:val="en-GB"/>
        </w:rPr>
      </w:pPr>
      <w:r>
        <w:rPr>
          <w:lang w:val="en-GB"/>
        </w:rPr>
        <w:t>Participation in Fingal GAA Leagues and FAIS competitions</w:t>
      </w:r>
    </w:p>
    <w:p w14:paraId="243EB6F2" w14:textId="77777777" w:rsidR="0027426C" w:rsidRDefault="003B0212" w:rsidP="0027426C">
      <w:pPr>
        <w:pStyle w:val="NoSpacing"/>
        <w:numPr>
          <w:ilvl w:val="3"/>
          <w:numId w:val="15"/>
        </w:numPr>
        <w:jc w:val="both"/>
        <w:rPr>
          <w:lang w:val="en-GB"/>
        </w:rPr>
      </w:pPr>
      <w:r w:rsidRPr="00BE37E4">
        <w:rPr>
          <w:lang w:val="en-GB"/>
        </w:rPr>
        <w:t>Gaelic Football and Hurling Coaching by Dun</w:t>
      </w:r>
      <w:r w:rsidR="00AA2151">
        <w:rPr>
          <w:lang w:val="en-GB"/>
        </w:rPr>
        <w:t>shaughlin and Drumree GAA Clubs</w:t>
      </w:r>
      <w:r w:rsidR="003B50A6">
        <w:rPr>
          <w:lang w:val="en-GB"/>
        </w:rPr>
        <w:t>. Strong link with Dunshaughlin GAA club</w:t>
      </w:r>
      <w:r w:rsidRPr="00BE37E4">
        <w:rPr>
          <w:lang w:val="en-GB"/>
        </w:rPr>
        <w:t xml:space="preserve"> </w:t>
      </w:r>
    </w:p>
    <w:p w14:paraId="14FD158B" w14:textId="77777777" w:rsidR="003B50A6" w:rsidRDefault="003B50A6" w:rsidP="0027426C">
      <w:pPr>
        <w:pStyle w:val="NoSpacing"/>
        <w:numPr>
          <w:ilvl w:val="3"/>
          <w:numId w:val="15"/>
        </w:numPr>
        <w:jc w:val="both"/>
        <w:rPr>
          <w:lang w:val="en-GB"/>
        </w:rPr>
      </w:pPr>
      <w:r>
        <w:rPr>
          <w:lang w:val="en-GB"/>
        </w:rPr>
        <w:t>Intel Mini Scientists awards, 2013, 2014</w:t>
      </w:r>
    </w:p>
    <w:p w14:paraId="4C302EBE" w14:textId="77777777" w:rsidR="0027426C" w:rsidRDefault="0027426C" w:rsidP="0027426C">
      <w:pPr>
        <w:pStyle w:val="NoSpacing"/>
        <w:numPr>
          <w:ilvl w:val="3"/>
          <w:numId w:val="15"/>
        </w:numPr>
        <w:jc w:val="both"/>
        <w:rPr>
          <w:lang w:val="en-GB"/>
        </w:rPr>
      </w:pPr>
      <w:r>
        <w:rPr>
          <w:lang w:val="en-GB"/>
        </w:rPr>
        <w:t>Food Dude</w:t>
      </w:r>
      <w:r w:rsidR="00AA2151">
        <w:rPr>
          <w:lang w:val="en-GB"/>
        </w:rPr>
        <w:t>s Programme from September 2014</w:t>
      </w:r>
      <w:r>
        <w:rPr>
          <w:lang w:val="en-GB"/>
        </w:rPr>
        <w:t xml:space="preserve"> </w:t>
      </w:r>
    </w:p>
    <w:p w14:paraId="6F7E002B" w14:textId="77777777" w:rsidR="003B0212" w:rsidRPr="00AA2151" w:rsidRDefault="0027426C" w:rsidP="00AA2151">
      <w:pPr>
        <w:pStyle w:val="NoSpacing"/>
        <w:numPr>
          <w:ilvl w:val="3"/>
          <w:numId w:val="15"/>
        </w:numPr>
        <w:jc w:val="both"/>
        <w:rPr>
          <w:lang w:val="en-GB"/>
        </w:rPr>
      </w:pPr>
      <w:r>
        <w:rPr>
          <w:lang w:val="en-GB"/>
        </w:rPr>
        <w:t>Application for A</w:t>
      </w:r>
      <w:r w:rsidR="00AA2151">
        <w:rPr>
          <w:lang w:val="en-GB"/>
        </w:rPr>
        <w:t>ctive Flag, 2014-15 School Year</w:t>
      </w:r>
    </w:p>
    <w:p w14:paraId="4FD966F5" w14:textId="77777777" w:rsidR="00591AFF" w:rsidRPr="00BE37E4" w:rsidRDefault="00591AFF" w:rsidP="00591AFF">
      <w:pPr>
        <w:pStyle w:val="NoSpacing"/>
        <w:rPr>
          <w:szCs w:val="24"/>
          <w:lang w:val="en-GB"/>
        </w:rPr>
      </w:pPr>
    </w:p>
    <w:p w14:paraId="624FB039" w14:textId="77777777" w:rsidR="007402B6" w:rsidRDefault="007402B6" w:rsidP="00E019A6">
      <w:pPr>
        <w:rPr>
          <w:b/>
          <w:sz w:val="24"/>
          <w:u w:val="single"/>
        </w:rPr>
      </w:pPr>
    </w:p>
    <w:p w14:paraId="26287824" w14:textId="77777777" w:rsidR="00E019A6" w:rsidRDefault="00E019A6" w:rsidP="00E019A6">
      <w:pPr>
        <w:rPr>
          <w:b/>
          <w:sz w:val="24"/>
          <w:u w:val="single"/>
        </w:rPr>
      </w:pPr>
    </w:p>
    <w:p w14:paraId="7995B319" w14:textId="77777777" w:rsidR="00591AFF" w:rsidRPr="00544495" w:rsidRDefault="00591AFF" w:rsidP="00544495">
      <w:pPr>
        <w:jc w:val="center"/>
        <w:rPr>
          <w:b/>
          <w:sz w:val="24"/>
          <w:u w:val="single"/>
        </w:rPr>
      </w:pPr>
      <w:r w:rsidRPr="00BE37E4">
        <w:rPr>
          <w:b/>
          <w:sz w:val="24"/>
          <w:u w:val="single"/>
        </w:rPr>
        <w:t>The  Findings of the Evaluation</w:t>
      </w:r>
    </w:p>
    <w:p w14:paraId="7F04C4DB" w14:textId="77777777" w:rsidR="00544495" w:rsidRDefault="00544495" w:rsidP="00591AFF">
      <w:pPr>
        <w:pStyle w:val="NoSpacing"/>
        <w:rPr>
          <w:b/>
          <w:u w:val="single"/>
        </w:rPr>
      </w:pPr>
      <w:r>
        <w:rPr>
          <w:b/>
          <w:u w:val="single"/>
        </w:rPr>
        <w:t>Standardized Test Findings:</w:t>
      </w:r>
    </w:p>
    <w:p w14:paraId="750112A5" w14:textId="77777777" w:rsidR="00544495" w:rsidRDefault="00544495" w:rsidP="00591AFF">
      <w:pPr>
        <w:pStyle w:val="NoSpacing"/>
      </w:pPr>
      <w:r w:rsidRPr="00544495">
        <w:t xml:space="preserve">Sigma T tests in May </w:t>
      </w:r>
      <w:r w:rsidR="003B50A6">
        <w:t xml:space="preserve">2012, </w:t>
      </w:r>
      <w:r w:rsidRPr="00544495">
        <w:t>2013 and 2014 were evaluated</w:t>
      </w:r>
    </w:p>
    <w:p w14:paraId="45354558" w14:textId="77777777" w:rsidR="00356BC5" w:rsidRDefault="00356BC5" w:rsidP="00356BC5">
      <w:pPr>
        <w:pStyle w:val="NoSpacing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68"/>
        <w:gridCol w:w="1323"/>
        <w:gridCol w:w="1323"/>
        <w:gridCol w:w="1323"/>
        <w:gridCol w:w="1323"/>
        <w:gridCol w:w="1323"/>
        <w:gridCol w:w="1323"/>
      </w:tblGrid>
      <w:tr w:rsidR="0027426C" w14:paraId="6965B8C0" w14:textId="77777777" w:rsidTr="0027426C">
        <w:tc>
          <w:tcPr>
            <w:tcW w:w="1668" w:type="dxa"/>
          </w:tcPr>
          <w:p w14:paraId="27B20F1F" w14:textId="77777777" w:rsidR="0027426C" w:rsidRDefault="0027426C" w:rsidP="00356BC5">
            <w:pPr>
              <w:pStyle w:val="NoSpacing"/>
            </w:pPr>
          </w:p>
        </w:tc>
        <w:tc>
          <w:tcPr>
            <w:tcW w:w="1323" w:type="dxa"/>
            <w:vAlign w:val="center"/>
          </w:tcPr>
          <w:p w14:paraId="74FADD0B" w14:textId="77777777" w:rsidR="0027426C" w:rsidRDefault="0027426C" w:rsidP="0027426C">
            <w:pPr>
              <w:pStyle w:val="NoSpacing"/>
              <w:jc w:val="center"/>
            </w:pPr>
            <w:r w:rsidRPr="00CC2BC0">
              <w:rPr>
                <w:b/>
              </w:rPr>
              <w:t>At or Below 2</w:t>
            </w:r>
            <w:r w:rsidRPr="00CC2BC0">
              <w:rPr>
                <w:b/>
                <w:vertAlign w:val="superscript"/>
              </w:rPr>
              <w:t>nd</w:t>
            </w:r>
          </w:p>
        </w:tc>
        <w:tc>
          <w:tcPr>
            <w:tcW w:w="1323" w:type="dxa"/>
            <w:vAlign w:val="center"/>
          </w:tcPr>
          <w:p w14:paraId="56FEE575" w14:textId="77777777" w:rsidR="0027426C" w:rsidRDefault="0027426C" w:rsidP="0027426C">
            <w:pPr>
              <w:pStyle w:val="NoSpacing"/>
              <w:jc w:val="center"/>
            </w:pPr>
            <w:r w:rsidRPr="00CC2BC0">
              <w:rPr>
                <w:b/>
              </w:rPr>
              <w:t>3</w:t>
            </w:r>
            <w:r w:rsidRPr="00CC2BC0">
              <w:rPr>
                <w:b/>
                <w:vertAlign w:val="superscript"/>
              </w:rPr>
              <w:t>rd</w:t>
            </w:r>
            <w:r w:rsidRPr="00CC2BC0">
              <w:rPr>
                <w:b/>
              </w:rPr>
              <w:t xml:space="preserve"> – 16</w:t>
            </w:r>
            <w:r w:rsidRPr="00CC2BC0">
              <w:rPr>
                <w:b/>
                <w:vertAlign w:val="superscript"/>
              </w:rPr>
              <w:t>th</w:t>
            </w:r>
          </w:p>
        </w:tc>
        <w:tc>
          <w:tcPr>
            <w:tcW w:w="1323" w:type="dxa"/>
            <w:vAlign w:val="center"/>
          </w:tcPr>
          <w:p w14:paraId="0BB59A17" w14:textId="77777777" w:rsidR="0027426C" w:rsidRDefault="0027426C" w:rsidP="0027426C">
            <w:pPr>
              <w:pStyle w:val="NoSpacing"/>
              <w:jc w:val="center"/>
            </w:pPr>
            <w:r w:rsidRPr="00CC2BC0">
              <w:rPr>
                <w:b/>
              </w:rPr>
              <w:t>17</w:t>
            </w:r>
            <w:r w:rsidRPr="00CC2BC0">
              <w:rPr>
                <w:b/>
                <w:vertAlign w:val="superscript"/>
              </w:rPr>
              <w:t>th</w:t>
            </w:r>
            <w:r w:rsidRPr="00CC2BC0">
              <w:rPr>
                <w:b/>
              </w:rPr>
              <w:t xml:space="preserve"> – 50</w:t>
            </w:r>
            <w:r w:rsidRPr="00CC2BC0">
              <w:rPr>
                <w:b/>
                <w:vertAlign w:val="superscript"/>
              </w:rPr>
              <w:t>th</w:t>
            </w:r>
          </w:p>
        </w:tc>
        <w:tc>
          <w:tcPr>
            <w:tcW w:w="1323" w:type="dxa"/>
            <w:vAlign w:val="center"/>
          </w:tcPr>
          <w:p w14:paraId="50E51D00" w14:textId="77777777" w:rsidR="0027426C" w:rsidRDefault="0027426C" w:rsidP="0027426C">
            <w:pPr>
              <w:pStyle w:val="NoSpacing"/>
              <w:jc w:val="center"/>
            </w:pPr>
            <w:r w:rsidRPr="00CC2BC0">
              <w:rPr>
                <w:b/>
              </w:rPr>
              <w:t>51</w:t>
            </w:r>
            <w:r w:rsidRPr="00CC2BC0">
              <w:rPr>
                <w:b/>
                <w:vertAlign w:val="superscript"/>
              </w:rPr>
              <w:t>st</w:t>
            </w:r>
            <w:r w:rsidRPr="00CC2BC0">
              <w:rPr>
                <w:b/>
              </w:rPr>
              <w:t xml:space="preserve"> – 84</w:t>
            </w:r>
            <w:r w:rsidRPr="00CC2BC0">
              <w:rPr>
                <w:b/>
                <w:vertAlign w:val="superscript"/>
              </w:rPr>
              <w:t>th</w:t>
            </w:r>
          </w:p>
        </w:tc>
        <w:tc>
          <w:tcPr>
            <w:tcW w:w="1323" w:type="dxa"/>
            <w:vAlign w:val="center"/>
          </w:tcPr>
          <w:p w14:paraId="00966F22" w14:textId="77777777" w:rsidR="0027426C" w:rsidRDefault="0027426C" w:rsidP="0027426C">
            <w:pPr>
              <w:pStyle w:val="NoSpacing"/>
              <w:jc w:val="center"/>
            </w:pPr>
            <w:r w:rsidRPr="00CC2BC0">
              <w:rPr>
                <w:b/>
              </w:rPr>
              <w:t>85</w:t>
            </w:r>
            <w:r w:rsidRPr="00CC2BC0">
              <w:rPr>
                <w:b/>
                <w:vertAlign w:val="superscript"/>
              </w:rPr>
              <w:t>th</w:t>
            </w:r>
            <w:r w:rsidRPr="00CC2BC0">
              <w:rPr>
                <w:b/>
              </w:rPr>
              <w:t xml:space="preserve"> – 98</w:t>
            </w:r>
            <w:r w:rsidRPr="00CC2BC0">
              <w:rPr>
                <w:b/>
                <w:vertAlign w:val="superscript"/>
              </w:rPr>
              <w:t>th</w:t>
            </w:r>
          </w:p>
        </w:tc>
        <w:tc>
          <w:tcPr>
            <w:tcW w:w="1323" w:type="dxa"/>
            <w:vAlign w:val="center"/>
          </w:tcPr>
          <w:p w14:paraId="26320E92" w14:textId="77777777" w:rsidR="0027426C" w:rsidRDefault="0027426C" w:rsidP="0027426C">
            <w:pPr>
              <w:pStyle w:val="NoSpacing"/>
              <w:jc w:val="center"/>
            </w:pPr>
            <w:r w:rsidRPr="00CC2BC0">
              <w:rPr>
                <w:b/>
              </w:rPr>
              <w:t>99</w:t>
            </w:r>
            <w:r w:rsidRPr="00CC2BC0">
              <w:rPr>
                <w:b/>
                <w:vertAlign w:val="superscript"/>
              </w:rPr>
              <w:t>th</w:t>
            </w:r>
          </w:p>
        </w:tc>
      </w:tr>
      <w:tr w:rsidR="0027426C" w14:paraId="5B1FAE59" w14:textId="77777777" w:rsidTr="00470071">
        <w:trPr>
          <w:trHeight w:val="454"/>
        </w:trPr>
        <w:tc>
          <w:tcPr>
            <w:tcW w:w="1668" w:type="dxa"/>
            <w:shd w:val="clear" w:color="auto" w:fill="CCFFCC"/>
            <w:vAlign w:val="center"/>
          </w:tcPr>
          <w:p w14:paraId="7E6D8E8D" w14:textId="77777777" w:rsidR="0027426C" w:rsidRDefault="0027426C" w:rsidP="007402B6">
            <w:pPr>
              <w:pStyle w:val="NoSpacing"/>
              <w:jc w:val="center"/>
            </w:pPr>
            <w:r>
              <w:t>National Distribution</w:t>
            </w:r>
          </w:p>
        </w:tc>
        <w:tc>
          <w:tcPr>
            <w:tcW w:w="1323" w:type="dxa"/>
            <w:shd w:val="clear" w:color="auto" w:fill="CCFFCC"/>
            <w:vAlign w:val="center"/>
          </w:tcPr>
          <w:p w14:paraId="4C02B5DA" w14:textId="77777777" w:rsidR="0027426C" w:rsidRPr="00CC2BC0" w:rsidRDefault="0027426C" w:rsidP="007402B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2%</w:t>
            </w:r>
          </w:p>
        </w:tc>
        <w:tc>
          <w:tcPr>
            <w:tcW w:w="1323" w:type="dxa"/>
            <w:shd w:val="clear" w:color="auto" w:fill="CCFFCC"/>
            <w:vAlign w:val="center"/>
          </w:tcPr>
          <w:p w14:paraId="1F074523" w14:textId="77777777" w:rsidR="0027426C" w:rsidRPr="00CC2BC0" w:rsidRDefault="0027426C" w:rsidP="007402B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14%</w:t>
            </w:r>
          </w:p>
        </w:tc>
        <w:tc>
          <w:tcPr>
            <w:tcW w:w="1323" w:type="dxa"/>
            <w:shd w:val="clear" w:color="auto" w:fill="CCFFCC"/>
            <w:vAlign w:val="center"/>
          </w:tcPr>
          <w:p w14:paraId="74F41A7E" w14:textId="77777777" w:rsidR="0027426C" w:rsidRDefault="0027426C" w:rsidP="007402B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34%</w:t>
            </w:r>
          </w:p>
        </w:tc>
        <w:tc>
          <w:tcPr>
            <w:tcW w:w="1323" w:type="dxa"/>
            <w:shd w:val="clear" w:color="auto" w:fill="CCFFCC"/>
            <w:vAlign w:val="center"/>
          </w:tcPr>
          <w:p w14:paraId="53A93840" w14:textId="77777777" w:rsidR="0027426C" w:rsidRDefault="0027426C" w:rsidP="007402B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34%</w:t>
            </w:r>
          </w:p>
        </w:tc>
        <w:tc>
          <w:tcPr>
            <w:tcW w:w="1323" w:type="dxa"/>
            <w:shd w:val="clear" w:color="auto" w:fill="CCFFCC"/>
            <w:vAlign w:val="center"/>
          </w:tcPr>
          <w:p w14:paraId="1DDFDF6C" w14:textId="77777777" w:rsidR="0027426C" w:rsidRDefault="0027426C" w:rsidP="007402B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14%</w:t>
            </w:r>
          </w:p>
        </w:tc>
        <w:tc>
          <w:tcPr>
            <w:tcW w:w="1323" w:type="dxa"/>
            <w:shd w:val="clear" w:color="auto" w:fill="CCFFCC"/>
            <w:vAlign w:val="center"/>
          </w:tcPr>
          <w:p w14:paraId="308AE27D" w14:textId="77777777" w:rsidR="0027426C" w:rsidRDefault="0027426C" w:rsidP="007402B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2%</w:t>
            </w:r>
          </w:p>
        </w:tc>
      </w:tr>
      <w:tr w:rsidR="0027426C" w14:paraId="5E4AE9C0" w14:textId="77777777" w:rsidTr="007402B6">
        <w:trPr>
          <w:trHeight w:val="454"/>
        </w:trPr>
        <w:tc>
          <w:tcPr>
            <w:tcW w:w="1668" w:type="dxa"/>
            <w:vAlign w:val="center"/>
          </w:tcPr>
          <w:p w14:paraId="69707D79" w14:textId="77777777" w:rsidR="0027426C" w:rsidRDefault="0027426C" w:rsidP="007402B6">
            <w:pPr>
              <w:pStyle w:val="NoSpacing"/>
              <w:jc w:val="center"/>
            </w:pPr>
            <w:r>
              <w:t>May 2014</w:t>
            </w:r>
          </w:p>
        </w:tc>
        <w:tc>
          <w:tcPr>
            <w:tcW w:w="1323" w:type="dxa"/>
            <w:vAlign w:val="center"/>
          </w:tcPr>
          <w:p w14:paraId="1B8A6F70" w14:textId="77777777" w:rsidR="0027426C" w:rsidRDefault="0027426C" w:rsidP="007402B6">
            <w:pPr>
              <w:pStyle w:val="NoSpacing"/>
              <w:jc w:val="center"/>
            </w:pPr>
            <w:r w:rsidRPr="00CC2BC0">
              <w:rPr>
                <w:b/>
              </w:rPr>
              <w:t>0%</w:t>
            </w:r>
          </w:p>
        </w:tc>
        <w:tc>
          <w:tcPr>
            <w:tcW w:w="1323" w:type="dxa"/>
            <w:vAlign w:val="center"/>
          </w:tcPr>
          <w:p w14:paraId="28E1E56B" w14:textId="77777777" w:rsidR="0027426C" w:rsidRDefault="0027426C" w:rsidP="007402B6">
            <w:pPr>
              <w:pStyle w:val="NoSpacing"/>
              <w:jc w:val="center"/>
            </w:pPr>
            <w:r w:rsidRPr="00CC2BC0">
              <w:rPr>
                <w:b/>
              </w:rPr>
              <w:t>8.9%</w:t>
            </w:r>
          </w:p>
        </w:tc>
        <w:tc>
          <w:tcPr>
            <w:tcW w:w="1323" w:type="dxa"/>
            <w:vAlign w:val="center"/>
          </w:tcPr>
          <w:p w14:paraId="7D2B0984" w14:textId="77777777" w:rsidR="0027426C" w:rsidRDefault="0027426C" w:rsidP="007402B6">
            <w:pPr>
              <w:pStyle w:val="NoSpacing"/>
              <w:jc w:val="center"/>
            </w:pPr>
            <w:r>
              <w:rPr>
                <w:b/>
              </w:rPr>
              <w:t>29.1%</w:t>
            </w:r>
          </w:p>
        </w:tc>
        <w:tc>
          <w:tcPr>
            <w:tcW w:w="1323" w:type="dxa"/>
            <w:vAlign w:val="center"/>
          </w:tcPr>
          <w:p w14:paraId="77191060" w14:textId="77777777" w:rsidR="0027426C" w:rsidRDefault="0027426C" w:rsidP="007402B6">
            <w:pPr>
              <w:pStyle w:val="NoSpacing"/>
              <w:jc w:val="center"/>
            </w:pPr>
            <w:r>
              <w:rPr>
                <w:b/>
              </w:rPr>
              <w:t>35.9%</w:t>
            </w:r>
          </w:p>
        </w:tc>
        <w:tc>
          <w:tcPr>
            <w:tcW w:w="1323" w:type="dxa"/>
            <w:vAlign w:val="center"/>
          </w:tcPr>
          <w:p w14:paraId="179623CB" w14:textId="77777777" w:rsidR="0027426C" w:rsidRDefault="0027426C" w:rsidP="007402B6">
            <w:pPr>
              <w:pStyle w:val="NoSpacing"/>
              <w:jc w:val="center"/>
            </w:pPr>
            <w:r>
              <w:rPr>
                <w:b/>
              </w:rPr>
              <w:t>22.7%</w:t>
            </w:r>
          </w:p>
        </w:tc>
        <w:tc>
          <w:tcPr>
            <w:tcW w:w="1323" w:type="dxa"/>
            <w:vAlign w:val="center"/>
          </w:tcPr>
          <w:p w14:paraId="75E7F264" w14:textId="77777777" w:rsidR="0027426C" w:rsidRDefault="0027426C" w:rsidP="007402B6">
            <w:pPr>
              <w:pStyle w:val="NoSpacing"/>
              <w:jc w:val="center"/>
            </w:pPr>
            <w:r>
              <w:rPr>
                <w:b/>
              </w:rPr>
              <w:t>3.4%</w:t>
            </w:r>
          </w:p>
        </w:tc>
      </w:tr>
      <w:tr w:rsidR="0027426C" w14:paraId="50155911" w14:textId="77777777" w:rsidTr="007402B6">
        <w:trPr>
          <w:trHeight w:val="454"/>
        </w:trPr>
        <w:tc>
          <w:tcPr>
            <w:tcW w:w="1668" w:type="dxa"/>
            <w:vAlign w:val="center"/>
          </w:tcPr>
          <w:p w14:paraId="7AF65BAA" w14:textId="77777777" w:rsidR="0027426C" w:rsidRDefault="0027426C" w:rsidP="007402B6">
            <w:pPr>
              <w:pStyle w:val="NoSpacing"/>
              <w:jc w:val="center"/>
            </w:pPr>
            <w:r>
              <w:t>May 2013</w:t>
            </w:r>
          </w:p>
        </w:tc>
        <w:tc>
          <w:tcPr>
            <w:tcW w:w="1323" w:type="dxa"/>
            <w:vAlign w:val="center"/>
          </w:tcPr>
          <w:p w14:paraId="58277EB2" w14:textId="77777777" w:rsidR="0027426C" w:rsidRPr="0027426C" w:rsidRDefault="0027426C" w:rsidP="007402B6">
            <w:pPr>
              <w:pStyle w:val="NoSpacing"/>
              <w:jc w:val="center"/>
              <w:rPr>
                <w:b/>
              </w:rPr>
            </w:pPr>
            <w:r w:rsidRPr="0027426C">
              <w:rPr>
                <w:b/>
              </w:rPr>
              <w:t>0.3%</w:t>
            </w:r>
          </w:p>
        </w:tc>
        <w:tc>
          <w:tcPr>
            <w:tcW w:w="1323" w:type="dxa"/>
            <w:vAlign w:val="center"/>
          </w:tcPr>
          <w:p w14:paraId="7E3448E7" w14:textId="77777777" w:rsidR="0027426C" w:rsidRPr="0027426C" w:rsidRDefault="0027426C" w:rsidP="007402B6">
            <w:pPr>
              <w:pStyle w:val="NoSpacing"/>
              <w:jc w:val="center"/>
              <w:rPr>
                <w:b/>
              </w:rPr>
            </w:pPr>
            <w:r w:rsidRPr="0027426C">
              <w:rPr>
                <w:b/>
              </w:rPr>
              <w:t>6%</w:t>
            </w:r>
          </w:p>
        </w:tc>
        <w:tc>
          <w:tcPr>
            <w:tcW w:w="1323" w:type="dxa"/>
            <w:vAlign w:val="center"/>
          </w:tcPr>
          <w:p w14:paraId="36DDC8BE" w14:textId="77777777" w:rsidR="0027426C" w:rsidRPr="0027426C" w:rsidRDefault="0027426C" w:rsidP="007402B6">
            <w:pPr>
              <w:pStyle w:val="NoSpacing"/>
              <w:jc w:val="center"/>
              <w:rPr>
                <w:b/>
              </w:rPr>
            </w:pPr>
            <w:r w:rsidRPr="0027426C">
              <w:rPr>
                <w:b/>
              </w:rPr>
              <w:t>32%</w:t>
            </w:r>
          </w:p>
        </w:tc>
        <w:tc>
          <w:tcPr>
            <w:tcW w:w="1323" w:type="dxa"/>
            <w:vAlign w:val="center"/>
          </w:tcPr>
          <w:p w14:paraId="756B008E" w14:textId="77777777" w:rsidR="0027426C" w:rsidRPr="0027426C" w:rsidRDefault="0027426C" w:rsidP="007402B6">
            <w:pPr>
              <w:pStyle w:val="NoSpacing"/>
              <w:jc w:val="center"/>
              <w:rPr>
                <w:b/>
              </w:rPr>
            </w:pPr>
            <w:r w:rsidRPr="0027426C">
              <w:rPr>
                <w:b/>
              </w:rPr>
              <w:t>31%</w:t>
            </w:r>
          </w:p>
        </w:tc>
        <w:tc>
          <w:tcPr>
            <w:tcW w:w="1323" w:type="dxa"/>
            <w:vAlign w:val="center"/>
          </w:tcPr>
          <w:p w14:paraId="25013821" w14:textId="77777777" w:rsidR="0027426C" w:rsidRPr="0027426C" w:rsidRDefault="0027426C" w:rsidP="007402B6">
            <w:pPr>
              <w:pStyle w:val="NoSpacing"/>
              <w:jc w:val="center"/>
              <w:rPr>
                <w:b/>
              </w:rPr>
            </w:pPr>
            <w:r w:rsidRPr="0027426C">
              <w:rPr>
                <w:b/>
              </w:rPr>
              <w:t>25%</w:t>
            </w:r>
          </w:p>
        </w:tc>
        <w:tc>
          <w:tcPr>
            <w:tcW w:w="1323" w:type="dxa"/>
            <w:vAlign w:val="center"/>
          </w:tcPr>
          <w:p w14:paraId="3AD31D3C" w14:textId="77777777" w:rsidR="0027426C" w:rsidRPr="0027426C" w:rsidRDefault="0027426C" w:rsidP="007402B6">
            <w:pPr>
              <w:pStyle w:val="NoSpacing"/>
              <w:jc w:val="center"/>
              <w:rPr>
                <w:b/>
              </w:rPr>
            </w:pPr>
            <w:r w:rsidRPr="0027426C">
              <w:rPr>
                <w:b/>
              </w:rPr>
              <w:t>5%</w:t>
            </w:r>
          </w:p>
        </w:tc>
      </w:tr>
      <w:tr w:rsidR="00470071" w14:paraId="0E0A695C" w14:textId="77777777" w:rsidTr="007402B6">
        <w:trPr>
          <w:trHeight w:val="454"/>
        </w:trPr>
        <w:tc>
          <w:tcPr>
            <w:tcW w:w="1668" w:type="dxa"/>
            <w:vAlign w:val="center"/>
          </w:tcPr>
          <w:p w14:paraId="5E06CBF2" w14:textId="77777777" w:rsidR="00470071" w:rsidRDefault="00470071" w:rsidP="007402B6">
            <w:pPr>
              <w:pStyle w:val="NoSpacing"/>
              <w:jc w:val="center"/>
            </w:pPr>
            <w:r>
              <w:t>May 2012</w:t>
            </w:r>
          </w:p>
        </w:tc>
        <w:tc>
          <w:tcPr>
            <w:tcW w:w="1323" w:type="dxa"/>
            <w:vAlign w:val="center"/>
          </w:tcPr>
          <w:p w14:paraId="45CAFCE6" w14:textId="77777777" w:rsidR="00470071" w:rsidRDefault="00470071" w:rsidP="007402B6">
            <w:pPr>
              <w:pStyle w:val="NoSpacing"/>
              <w:jc w:val="center"/>
            </w:pPr>
            <w:r>
              <w:rPr>
                <w:b/>
              </w:rPr>
              <w:t>0.2%</w:t>
            </w:r>
          </w:p>
        </w:tc>
        <w:tc>
          <w:tcPr>
            <w:tcW w:w="1323" w:type="dxa"/>
            <w:vAlign w:val="center"/>
          </w:tcPr>
          <w:p w14:paraId="1754D24F" w14:textId="77777777" w:rsidR="00470071" w:rsidRDefault="00470071" w:rsidP="007402B6">
            <w:pPr>
              <w:pStyle w:val="NoSpacing"/>
              <w:jc w:val="center"/>
            </w:pPr>
            <w:r>
              <w:rPr>
                <w:b/>
              </w:rPr>
              <w:t>6.5%</w:t>
            </w:r>
          </w:p>
        </w:tc>
        <w:tc>
          <w:tcPr>
            <w:tcW w:w="1323" w:type="dxa"/>
            <w:vAlign w:val="center"/>
          </w:tcPr>
          <w:p w14:paraId="2C14D081" w14:textId="77777777" w:rsidR="00470071" w:rsidRDefault="00470071" w:rsidP="007402B6">
            <w:pPr>
              <w:pStyle w:val="NoSpacing"/>
              <w:jc w:val="center"/>
            </w:pPr>
            <w:r>
              <w:rPr>
                <w:b/>
              </w:rPr>
              <w:t>24.8%</w:t>
            </w:r>
          </w:p>
        </w:tc>
        <w:tc>
          <w:tcPr>
            <w:tcW w:w="1323" w:type="dxa"/>
            <w:vAlign w:val="center"/>
          </w:tcPr>
          <w:p w14:paraId="358FBA5C" w14:textId="77777777" w:rsidR="00470071" w:rsidRDefault="00470071" w:rsidP="007402B6">
            <w:pPr>
              <w:pStyle w:val="NoSpacing"/>
              <w:jc w:val="center"/>
            </w:pPr>
            <w:r>
              <w:rPr>
                <w:b/>
              </w:rPr>
              <w:t>35.3%</w:t>
            </w:r>
          </w:p>
        </w:tc>
        <w:tc>
          <w:tcPr>
            <w:tcW w:w="1323" w:type="dxa"/>
            <w:vAlign w:val="center"/>
          </w:tcPr>
          <w:p w14:paraId="65ED1890" w14:textId="77777777" w:rsidR="00470071" w:rsidRDefault="00470071" w:rsidP="007402B6">
            <w:pPr>
              <w:pStyle w:val="NoSpacing"/>
              <w:jc w:val="center"/>
            </w:pPr>
            <w:r>
              <w:rPr>
                <w:b/>
              </w:rPr>
              <w:t>28.3%</w:t>
            </w:r>
          </w:p>
        </w:tc>
        <w:tc>
          <w:tcPr>
            <w:tcW w:w="1323" w:type="dxa"/>
            <w:vAlign w:val="center"/>
          </w:tcPr>
          <w:p w14:paraId="53D42E8B" w14:textId="77777777" w:rsidR="00470071" w:rsidRDefault="00470071" w:rsidP="007402B6">
            <w:pPr>
              <w:pStyle w:val="NoSpacing"/>
              <w:jc w:val="center"/>
            </w:pPr>
            <w:r>
              <w:rPr>
                <w:b/>
              </w:rPr>
              <w:t>4.9%</w:t>
            </w:r>
          </w:p>
        </w:tc>
      </w:tr>
    </w:tbl>
    <w:p w14:paraId="4078A040" w14:textId="77777777" w:rsidR="00544495" w:rsidRDefault="00544495" w:rsidP="00591AFF">
      <w:pPr>
        <w:pStyle w:val="NoSpacing"/>
      </w:pPr>
    </w:p>
    <w:p w14:paraId="6EA88912" w14:textId="77777777" w:rsidR="00544495" w:rsidRDefault="00544495" w:rsidP="00591AFF">
      <w:pPr>
        <w:pStyle w:val="NoSpacing"/>
        <w:rPr>
          <w:b/>
          <w:u w:val="single"/>
        </w:rPr>
      </w:pPr>
    </w:p>
    <w:p w14:paraId="529F5EDD" w14:textId="77777777" w:rsidR="00591AFF" w:rsidRPr="00BE37E4" w:rsidRDefault="00591AFF" w:rsidP="00591AFF">
      <w:pPr>
        <w:pStyle w:val="NoSpacing"/>
        <w:rPr>
          <w:b/>
          <w:u w:val="single"/>
        </w:rPr>
      </w:pPr>
      <w:r w:rsidRPr="00BE37E4">
        <w:rPr>
          <w:b/>
          <w:u w:val="single"/>
        </w:rPr>
        <w:t>Preparation for Teaching:</w:t>
      </w:r>
    </w:p>
    <w:p w14:paraId="470730B5" w14:textId="77777777" w:rsidR="00591AFF" w:rsidRPr="00BE37E4" w:rsidRDefault="00591AFF" w:rsidP="003B50A6">
      <w:pPr>
        <w:pStyle w:val="NoSpacing"/>
        <w:jc w:val="both"/>
      </w:pPr>
      <w:r w:rsidRPr="00BE37E4">
        <w:t xml:space="preserve">Teachers’ planning is based on the Maths Curriculum </w:t>
      </w:r>
      <w:r w:rsidR="00C175EE">
        <w:t xml:space="preserve">and the school policy for Mathematics. </w:t>
      </w:r>
      <w:r w:rsidRPr="00BE37E4">
        <w:t xml:space="preserve">Mental maths </w:t>
      </w:r>
      <w:r w:rsidR="00BE37E4">
        <w:t xml:space="preserve">and estimation </w:t>
      </w:r>
      <w:r w:rsidRPr="00BE37E4">
        <w:t>is encouraged across all the strands</w:t>
      </w:r>
      <w:r w:rsidR="00BE37E4">
        <w:t xml:space="preserve"> and there is a plan in place to focus on areas such as estimation, tables, fractions, shape etc for specific periods of time, usually a fortnight for each theme</w:t>
      </w:r>
      <w:r w:rsidRPr="00BE37E4">
        <w:t>.</w:t>
      </w:r>
      <w:r w:rsidR="003B50A6">
        <w:t xml:space="preserve"> </w:t>
      </w:r>
    </w:p>
    <w:p w14:paraId="79E46339" w14:textId="77777777" w:rsidR="00591AFF" w:rsidRPr="00BE37E4" w:rsidRDefault="00591AFF" w:rsidP="00591AFF">
      <w:pPr>
        <w:pStyle w:val="NoSpacing"/>
      </w:pPr>
    </w:p>
    <w:p w14:paraId="49BF68E2" w14:textId="77777777" w:rsidR="00591AFF" w:rsidRPr="00BE37E4" w:rsidRDefault="00591AFF" w:rsidP="00591AFF">
      <w:pPr>
        <w:pStyle w:val="NoSpacing"/>
        <w:rPr>
          <w:b/>
          <w:u w:val="single"/>
        </w:rPr>
      </w:pPr>
      <w:r w:rsidRPr="00BE37E4">
        <w:rPr>
          <w:b/>
          <w:u w:val="single"/>
        </w:rPr>
        <w:t>Teaching Approaches:</w:t>
      </w:r>
    </w:p>
    <w:p w14:paraId="4F278496" w14:textId="77777777" w:rsidR="00BC61B8" w:rsidRPr="00BE37E4" w:rsidRDefault="00C175EE" w:rsidP="00BC61B8">
      <w:pPr>
        <w:pStyle w:val="NoSpacing"/>
        <w:jc w:val="both"/>
      </w:pPr>
      <w:r>
        <w:t>Talk and d</w:t>
      </w:r>
      <w:r w:rsidR="00591AFF" w:rsidRPr="00BE37E4">
        <w:t xml:space="preserve">iscussion is an integral part of Mathematics. Opportunities are provided for pupils to explain how they got the answer to a problem. </w:t>
      </w:r>
      <w:r w:rsidRPr="00BE37E4">
        <w:t>There are agreed strategies outlined in the school plan for the teaching of addition, subtraction, multiplication and division</w:t>
      </w:r>
      <w:r>
        <w:t>.</w:t>
      </w:r>
      <w:r w:rsidRPr="00BE37E4">
        <w:t xml:space="preserve"> </w:t>
      </w:r>
      <w:r w:rsidR="00BC61B8">
        <w:t>Mental mathematics and estimation is encouraged across all strands.</w:t>
      </w:r>
    </w:p>
    <w:p w14:paraId="3A164A35" w14:textId="77777777" w:rsidR="00C175EE" w:rsidRPr="00BE37E4" w:rsidRDefault="00C175EE" w:rsidP="00591AFF">
      <w:pPr>
        <w:pStyle w:val="NoSpacing"/>
      </w:pPr>
    </w:p>
    <w:p w14:paraId="04299352" w14:textId="77777777" w:rsidR="00591AFF" w:rsidRPr="00BE37E4" w:rsidRDefault="00591AFF" w:rsidP="00591AFF">
      <w:pPr>
        <w:pStyle w:val="NoSpacing"/>
        <w:rPr>
          <w:b/>
          <w:u w:val="single"/>
        </w:rPr>
      </w:pPr>
      <w:r w:rsidRPr="00BE37E4">
        <w:rPr>
          <w:b/>
          <w:u w:val="single"/>
        </w:rPr>
        <w:t>Management of Pupils</w:t>
      </w:r>
    </w:p>
    <w:p w14:paraId="4A056FE1" w14:textId="77777777" w:rsidR="00591AFF" w:rsidRPr="00BE37E4" w:rsidRDefault="00BE37E4" w:rsidP="00BC61B8">
      <w:pPr>
        <w:pStyle w:val="NoSpacing"/>
        <w:jc w:val="both"/>
      </w:pPr>
      <w:r>
        <w:t>Classes use</w:t>
      </w:r>
      <w:r w:rsidR="00591AFF" w:rsidRPr="00BE37E4">
        <w:t xml:space="preserve"> a variety of organisational styles – </w:t>
      </w:r>
      <w:r w:rsidRPr="00BE37E4">
        <w:t>whole class work</w:t>
      </w:r>
      <w:r>
        <w:t>,</w:t>
      </w:r>
      <w:r w:rsidRPr="00BE37E4">
        <w:t xml:space="preserve"> </w:t>
      </w:r>
      <w:r w:rsidR="00591AFF" w:rsidRPr="00BE37E4">
        <w:t xml:space="preserve">group work, </w:t>
      </w:r>
      <w:r w:rsidRPr="00BE37E4">
        <w:t xml:space="preserve">pair work </w:t>
      </w:r>
      <w:r>
        <w:t>and individual work</w:t>
      </w:r>
      <w:r w:rsidR="00591AFF" w:rsidRPr="00BE37E4">
        <w:t>. There is order and structure in the way activities are organised.</w:t>
      </w:r>
    </w:p>
    <w:p w14:paraId="4DA1E254" w14:textId="77777777" w:rsidR="00BE37E4" w:rsidRDefault="00BE37E4" w:rsidP="00591AFF">
      <w:pPr>
        <w:pStyle w:val="NoSpacing"/>
        <w:rPr>
          <w:b/>
          <w:u w:val="single"/>
        </w:rPr>
      </w:pPr>
    </w:p>
    <w:p w14:paraId="56749751" w14:textId="77777777" w:rsidR="00591AFF" w:rsidRPr="00BE37E4" w:rsidRDefault="00591AFF" w:rsidP="00591AFF">
      <w:pPr>
        <w:pStyle w:val="NoSpacing"/>
        <w:rPr>
          <w:b/>
          <w:u w:val="single"/>
        </w:rPr>
      </w:pPr>
      <w:r w:rsidRPr="00BE37E4">
        <w:rPr>
          <w:b/>
          <w:u w:val="single"/>
        </w:rPr>
        <w:t>Assessment</w:t>
      </w:r>
    </w:p>
    <w:p w14:paraId="51DDE05B" w14:textId="77777777" w:rsidR="00591AFF" w:rsidRPr="00BE37E4" w:rsidRDefault="00BC61B8" w:rsidP="00BC61B8">
      <w:pPr>
        <w:pStyle w:val="NoSpacing"/>
        <w:jc w:val="both"/>
      </w:pPr>
      <w:r>
        <w:t xml:space="preserve">Pupils’ work is regularly monitored and corrected by the class teacher. </w:t>
      </w:r>
      <w:r w:rsidR="00591AFF" w:rsidRPr="00BE37E4">
        <w:t xml:space="preserve">A variety of </w:t>
      </w:r>
      <w:r w:rsidR="00C175EE">
        <w:t>assessment</w:t>
      </w:r>
      <w:r w:rsidR="00591AFF" w:rsidRPr="00BE37E4">
        <w:t xml:space="preserve"> modes are used in all classes to monitor progress. Assessment results are analysed and used for screening, diagnosis of learning difficulties or identifying aspects of maths needing re-teaching. Teachers differentiate their lessons to cater for children with different needs. Class teachers and Learning support teachers collaborate to ensure that supplementary teaching is available for children with learning difficulties</w:t>
      </w:r>
      <w:r w:rsidR="00C175EE">
        <w:t>.</w:t>
      </w:r>
      <w:r w:rsidR="00591AFF" w:rsidRPr="00BE37E4">
        <w:t xml:space="preserve"> Team teaching and early intervention strategies are provided</w:t>
      </w:r>
      <w:r w:rsidR="00C175EE">
        <w:t xml:space="preserve"> where resources permit</w:t>
      </w:r>
      <w:r w:rsidR="00591AFF" w:rsidRPr="00BE37E4">
        <w:t>.</w:t>
      </w:r>
    </w:p>
    <w:p w14:paraId="47F4EC68" w14:textId="77777777" w:rsidR="00591AFF" w:rsidRPr="00BE37E4" w:rsidRDefault="00591AFF" w:rsidP="00591AFF">
      <w:pPr>
        <w:pStyle w:val="NoSpacing"/>
      </w:pPr>
    </w:p>
    <w:p w14:paraId="1A1E3A75" w14:textId="77777777" w:rsidR="00591AFF" w:rsidRPr="00BE37E4" w:rsidRDefault="00591AFF" w:rsidP="00591AFF">
      <w:pPr>
        <w:pStyle w:val="NoSpacing"/>
        <w:rPr>
          <w:b/>
          <w:u w:val="single"/>
        </w:rPr>
      </w:pPr>
      <w:r w:rsidRPr="00BE37E4">
        <w:rPr>
          <w:b/>
          <w:u w:val="single"/>
        </w:rPr>
        <w:t>Learning Environment</w:t>
      </w:r>
    </w:p>
    <w:p w14:paraId="14B56AD4" w14:textId="77777777" w:rsidR="00591AFF" w:rsidRPr="00BE37E4" w:rsidRDefault="00591AFF" w:rsidP="00BC61B8">
      <w:pPr>
        <w:pStyle w:val="NoSpacing"/>
        <w:jc w:val="both"/>
      </w:pPr>
      <w:r w:rsidRPr="00BE37E4">
        <w:lastRenderedPageBreak/>
        <w:t>The school is a safe stimulating environment and classrooms and the building in general is organi</w:t>
      </w:r>
      <w:r w:rsidR="00C175EE">
        <w:t>sed, clean and well maintained.</w:t>
      </w:r>
      <w:r w:rsidRPr="00BE37E4">
        <w:t xml:space="preserve"> The school environment is used to provide opportunities for mathematical problem solving and creating an awareness of number</w:t>
      </w:r>
      <w:r w:rsidR="009D4477">
        <w:t>, e.g. measuring, estimating.</w:t>
      </w:r>
    </w:p>
    <w:p w14:paraId="0ED01611" w14:textId="77777777" w:rsidR="00591AFF" w:rsidRPr="00BE37E4" w:rsidRDefault="00591AFF" w:rsidP="00591AFF">
      <w:pPr>
        <w:pStyle w:val="NoSpacing"/>
      </w:pPr>
    </w:p>
    <w:p w14:paraId="5FEB55DA" w14:textId="77777777" w:rsidR="00591AFF" w:rsidRPr="00BE37E4" w:rsidRDefault="00591AFF" w:rsidP="00591AFF">
      <w:pPr>
        <w:pStyle w:val="NoSpacing"/>
        <w:rPr>
          <w:b/>
          <w:u w:val="single"/>
        </w:rPr>
      </w:pPr>
      <w:r w:rsidRPr="00BE37E4">
        <w:rPr>
          <w:b/>
          <w:u w:val="single"/>
        </w:rPr>
        <w:t>Pupil’s engagement with learning</w:t>
      </w:r>
    </w:p>
    <w:p w14:paraId="62497791" w14:textId="1822B90A" w:rsidR="00591AFF" w:rsidRPr="00BE37E4" w:rsidRDefault="000F1242" w:rsidP="00591AFF">
      <w:pPr>
        <w:pStyle w:val="NoSpacing"/>
        <w:rPr>
          <w:b/>
          <w:u w:val="single"/>
        </w:rPr>
      </w:pPr>
      <w:r>
        <w:t>77%</w:t>
      </w:r>
      <w:r w:rsidR="003515DE">
        <w:t xml:space="preserve"> of pupils from fourth</w:t>
      </w:r>
      <w:r w:rsidR="00591AFF" w:rsidRPr="00BE37E4">
        <w:t xml:space="preserve"> to sixth </w:t>
      </w:r>
      <w:r w:rsidR="00764255">
        <w:t xml:space="preserve">class </w:t>
      </w:r>
      <w:r w:rsidR="00591AFF" w:rsidRPr="00BE37E4">
        <w:t>reported that they like Maths</w:t>
      </w:r>
      <w:r w:rsidR="003515DE">
        <w:t>, with the percentage higher in the lower classes than in the higher ones</w:t>
      </w:r>
      <w:r w:rsidR="009D4477">
        <w:t>.</w:t>
      </w:r>
      <w:r w:rsidR="00591AFF" w:rsidRPr="00BE37E4">
        <w:t xml:space="preserve"> </w:t>
      </w:r>
    </w:p>
    <w:p w14:paraId="377CDAAE" w14:textId="77777777" w:rsidR="00385A9C" w:rsidRDefault="00385A9C" w:rsidP="00591AFF">
      <w:pPr>
        <w:pStyle w:val="NoSpacing"/>
        <w:rPr>
          <w:b/>
          <w:u w:val="single"/>
        </w:rPr>
      </w:pPr>
    </w:p>
    <w:p w14:paraId="4BDE195B" w14:textId="77777777" w:rsidR="00AA2151" w:rsidRDefault="00AA2151" w:rsidP="00591AFF">
      <w:pPr>
        <w:pStyle w:val="NoSpacing"/>
        <w:rPr>
          <w:b/>
          <w:u w:val="single"/>
        </w:rPr>
      </w:pPr>
    </w:p>
    <w:p w14:paraId="227F913A" w14:textId="77777777" w:rsidR="00591AFF" w:rsidRPr="00BE37E4" w:rsidRDefault="00591AFF" w:rsidP="00591AFF">
      <w:pPr>
        <w:pStyle w:val="NoSpacing"/>
        <w:rPr>
          <w:b/>
          <w:u w:val="single"/>
        </w:rPr>
      </w:pPr>
      <w:r w:rsidRPr="00BE37E4">
        <w:rPr>
          <w:b/>
          <w:u w:val="single"/>
        </w:rPr>
        <w:t>Parental Involvement</w:t>
      </w:r>
    </w:p>
    <w:p w14:paraId="7E0DF6FF" w14:textId="77777777" w:rsidR="00B70BEA" w:rsidRDefault="00B70BEA" w:rsidP="00BC61B8">
      <w:pPr>
        <w:pStyle w:val="NoSpacing"/>
      </w:pPr>
      <w:r>
        <w:t>280 parents</w:t>
      </w:r>
      <w:r w:rsidR="00591AFF" w:rsidRPr="00BE37E4">
        <w:t xml:space="preserve"> returned the </w:t>
      </w:r>
      <w:r>
        <w:t>s</w:t>
      </w:r>
      <w:r w:rsidR="00591AFF" w:rsidRPr="00BE37E4">
        <w:t xml:space="preserve">urvey. Of those who returned the survey </w:t>
      </w:r>
      <w:r>
        <w:t xml:space="preserve">89 </w:t>
      </w:r>
      <w:r w:rsidR="00591AFF" w:rsidRPr="00BE37E4">
        <w:t>percent reported that their children liked Maths</w:t>
      </w:r>
      <w:r w:rsidR="002F4017">
        <w:t xml:space="preserve"> </w:t>
      </w:r>
      <w:r w:rsidR="00591AFF" w:rsidRPr="00BE37E4">
        <w:t xml:space="preserve">and </w:t>
      </w:r>
      <w:r>
        <w:t>86 per cent felt their child was doing well at Maths. Twenty-eight per cent indicated that they didn’t get sufficient information about their children’s progress in Maths and efforts to address this are included in our school improvement plan for numeracy.</w:t>
      </w:r>
    </w:p>
    <w:p w14:paraId="698500A9" w14:textId="77777777" w:rsidR="00B70BEA" w:rsidRDefault="00B70BEA" w:rsidP="00385A9C">
      <w:pPr>
        <w:jc w:val="center"/>
        <w:rPr>
          <w:b/>
          <w:sz w:val="28"/>
          <w:u w:val="single"/>
        </w:rPr>
      </w:pPr>
    </w:p>
    <w:p w14:paraId="12D52F72" w14:textId="77777777" w:rsidR="00591AFF" w:rsidRPr="00385A9C" w:rsidRDefault="00591AFF" w:rsidP="00385A9C">
      <w:pPr>
        <w:jc w:val="center"/>
        <w:rPr>
          <w:b/>
          <w:sz w:val="28"/>
          <w:u w:val="single"/>
        </w:rPr>
      </w:pPr>
      <w:r w:rsidRPr="00BE37E4">
        <w:rPr>
          <w:b/>
          <w:sz w:val="28"/>
          <w:u w:val="single"/>
        </w:rPr>
        <w:t>Summary of School Self Evaluation Findings</w:t>
      </w:r>
    </w:p>
    <w:p w14:paraId="1789F345" w14:textId="77777777" w:rsidR="00591AFF" w:rsidRPr="00BE37E4" w:rsidRDefault="00591AFF" w:rsidP="00591AFF">
      <w:pPr>
        <w:rPr>
          <w:b/>
          <w:sz w:val="24"/>
          <w:u w:val="single"/>
        </w:rPr>
      </w:pPr>
      <w:r w:rsidRPr="00BE37E4">
        <w:rPr>
          <w:b/>
          <w:sz w:val="24"/>
          <w:u w:val="single"/>
        </w:rPr>
        <w:t>Our school has strengths in the following areas with regard to Numeracy:</w:t>
      </w:r>
    </w:p>
    <w:p w14:paraId="22466327" w14:textId="77777777" w:rsidR="002F4017" w:rsidRPr="00764255" w:rsidRDefault="00591AFF" w:rsidP="00591A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255">
        <w:rPr>
          <w:sz w:val="24"/>
          <w:szCs w:val="24"/>
        </w:rPr>
        <w:t xml:space="preserve"> </w:t>
      </w:r>
      <w:r w:rsidR="002F4017" w:rsidRPr="00764255">
        <w:rPr>
          <w:rFonts w:cs="Comic Sans MS"/>
          <w:sz w:val="24"/>
          <w:szCs w:val="24"/>
        </w:rPr>
        <w:t>Standardised tests scores for numeracy attainment are significantly above the national norms</w:t>
      </w:r>
      <w:r w:rsidR="002F4017" w:rsidRPr="00764255">
        <w:rPr>
          <w:sz w:val="24"/>
          <w:szCs w:val="24"/>
        </w:rPr>
        <w:t xml:space="preserve"> </w:t>
      </w:r>
    </w:p>
    <w:p w14:paraId="015694C8" w14:textId="77777777" w:rsidR="00591AFF" w:rsidRPr="00764255" w:rsidRDefault="001363EC" w:rsidP="00591A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255">
        <w:rPr>
          <w:sz w:val="24"/>
          <w:szCs w:val="24"/>
        </w:rPr>
        <w:t>Mental Maths is encouraged</w:t>
      </w:r>
      <w:r w:rsidR="008946CF" w:rsidRPr="00764255">
        <w:rPr>
          <w:sz w:val="24"/>
          <w:szCs w:val="24"/>
        </w:rPr>
        <w:t xml:space="preserve"> across the strands</w:t>
      </w:r>
    </w:p>
    <w:p w14:paraId="71966650" w14:textId="77777777" w:rsidR="002F4017" w:rsidRPr="00764255" w:rsidRDefault="002F4017" w:rsidP="002F40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255">
        <w:rPr>
          <w:sz w:val="24"/>
          <w:szCs w:val="24"/>
        </w:rPr>
        <w:t>There is an agreed whole school policy on strategies for teaching various Maths topics.</w:t>
      </w:r>
    </w:p>
    <w:p w14:paraId="31E00AF8" w14:textId="77777777" w:rsidR="00591AFF" w:rsidRPr="00764255" w:rsidRDefault="00591AFF" w:rsidP="00591A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255">
        <w:rPr>
          <w:sz w:val="24"/>
          <w:szCs w:val="24"/>
        </w:rPr>
        <w:t>Teachers’ planning is based on the Maths curriculum and the school Maths plan.</w:t>
      </w:r>
    </w:p>
    <w:p w14:paraId="7B118D81" w14:textId="77777777" w:rsidR="00591AFF" w:rsidRPr="00764255" w:rsidRDefault="00591AFF" w:rsidP="00591A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255">
        <w:rPr>
          <w:sz w:val="24"/>
          <w:szCs w:val="24"/>
        </w:rPr>
        <w:t xml:space="preserve"> Talk &amp; Discussion and opportunities f</w:t>
      </w:r>
      <w:r w:rsidR="008946CF" w:rsidRPr="00764255">
        <w:rPr>
          <w:sz w:val="24"/>
          <w:szCs w:val="24"/>
        </w:rPr>
        <w:t>or pupils to explain answers are</w:t>
      </w:r>
      <w:r w:rsidRPr="00764255">
        <w:rPr>
          <w:sz w:val="24"/>
          <w:szCs w:val="24"/>
        </w:rPr>
        <w:t xml:space="preserve"> part of Maths lessons.</w:t>
      </w:r>
    </w:p>
    <w:p w14:paraId="6B6E7DA7" w14:textId="77777777" w:rsidR="00591AFF" w:rsidRPr="00764255" w:rsidRDefault="00591AFF" w:rsidP="00591A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255">
        <w:rPr>
          <w:sz w:val="24"/>
          <w:szCs w:val="24"/>
        </w:rPr>
        <w:t>There is an agreed approach to numeral formation and presentation of written work.</w:t>
      </w:r>
    </w:p>
    <w:p w14:paraId="08D7702C" w14:textId="77777777" w:rsidR="00591AFF" w:rsidRPr="00764255" w:rsidRDefault="00591AFF" w:rsidP="00591A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255">
        <w:rPr>
          <w:sz w:val="24"/>
          <w:szCs w:val="24"/>
        </w:rPr>
        <w:t xml:space="preserve">The school has a </w:t>
      </w:r>
      <w:r w:rsidR="001363EC" w:rsidRPr="00764255">
        <w:rPr>
          <w:sz w:val="24"/>
          <w:szCs w:val="24"/>
        </w:rPr>
        <w:t>fairly good supply of Maths resources</w:t>
      </w:r>
      <w:r w:rsidRPr="00764255">
        <w:rPr>
          <w:sz w:val="24"/>
          <w:szCs w:val="24"/>
        </w:rPr>
        <w:t>.</w:t>
      </w:r>
    </w:p>
    <w:p w14:paraId="4BF70F3E" w14:textId="77777777" w:rsidR="00591AFF" w:rsidRPr="00764255" w:rsidRDefault="00591AFF" w:rsidP="00591A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4255">
        <w:rPr>
          <w:sz w:val="24"/>
          <w:szCs w:val="24"/>
        </w:rPr>
        <w:t>Results of assessments are used to inform teacher planning</w:t>
      </w:r>
      <w:r w:rsidR="001363EC" w:rsidRPr="00764255">
        <w:rPr>
          <w:sz w:val="24"/>
          <w:szCs w:val="24"/>
        </w:rPr>
        <w:t>.</w:t>
      </w:r>
    </w:p>
    <w:p w14:paraId="60108D65" w14:textId="77777777" w:rsidR="00BC755F" w:rsidRPr="00BC755F" w:rsidRDefault="00BC755F" w:rsidP="00BC755F">
      <w:pPr>
        <w:pStyle w:val="ListParagraph"/>
      </w:pPr>
    </w:p>
    <w:p w14:paraId="760D4DA8" w14:textId="77777777" w:rsidR="00591AFF" w:rsidRPr="006F7145" w:rsidRDefault="00591AFF" w:rsidP="006F7145">
      <w:pPr>
        <w:pStyle w:val="NoSpacing"/>
        <w:spacing w:line="276" w:lineRule="auto"/>
        <w:rPr>
          <w:b/>
        </w:rPr>
      </w:pPr>
      <w:r w:rsidRPr="006F7145">
        <w:rPr>
          <w:b/>
        </w:rPr>
        <w:t>The following Areas are prioritized for improvement with regard to Numeracy:</w:t>
      </w:r>
    </w:p>
    <w:p w14:paraId="77690A6F" w14:textId="77777777" w:rsidR="006807E4" w:rsidRPr="00B70BEA" w:rsidRDefault="006807E4" w:rsidP="00764255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B70BEA">
        <w:rPr>
          <w:sz w:val="24"/>
          <w:szCs w:val="24"/>
        </w:rPr>
        <w:t>Strategies to support pupils’ problem solving to be agreed at whole school level.</w:t>
      </w:r>
    </w:p>
    <w:p w14:paraId="13C22D74" w14:textId="77777777" w:rsidR="006807E4" w:rsidRPr="00B70BEA" w:rsidRDefault="006807E4" w:rsidP="00764255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B70BEA">
        <w:rPr>
          <w:sz w:val="24"/>
          <w:szCs w:val="24"/>
        </w:rPr>
        <w:t>Focus on the language of Mathematics</w:t>
      </w:r>
    </w:p>
    <w:p w14:paraId="1B5668A0" w14:textId="77777777" w:rsidR="006807E4" w:rsidRPr="00B70BEA" w:rsidRDefault="006807E4" w:rsidP="00764255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B70BEA">
        <w:rPr>
          <w:sz w:val="24"/>
          <w:szCs w:val="24"/>
        </w:rPr>
        <w:t>Focus on estimation</w:t>
      </w:r>
    </w:p>
    <w:p w14:paraId="5CF87F6A" w14:textId="77777777" w:rsidR="006807E4" w:rsidRPr="00B70BEA" w:rsidRDefault="006F7145" w:rsidP="00764255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B70BEA">
        <w:rPr>
          <w:sz w:val="24"/>
          <w:szCs w:val="24"/>
        </w:rPr>
        <w:t>Empha</w:t>
      </w:r>
      <w:r w:rsidR="006807E4" w:rsidRPr="00B70BEA">
        <w:rPr>
          <w:sz w:val="24"/>
          <w:szCs w:val="24"/>
        </w:rPr>
        <w:t>sis on presentation of Mathematical work.</w:t>
      </w:r>
      <w:r w:rsidRPr="00B70BEA">
        <w:rPr>
          <w:sz w:val="24"/>
          <w:szCs w:val="24"/>
        </w:rPr>
        <w:t xml:space="preserve"> </w:t>
      </w:r>
      <w:r w:rsidR="006807E4" w:rsidRPr="00B70BEA">
        <w:rPr>
          <w:sz w:val="24"/>
          <w:szCs w:val="24"/>
        </w:rPr>
        <w:t xml:space="preserve">Agreed policy be amended: </w:t>
      </w:r>
    </w:p>
    <w:p w14:paraId="443CF5AD" w14:textId="77777777" w:rsidR="006807E4" w:rsidRPr="00B70BEA" w:rsidRDefault="006807E4" w:rsidP="00764255"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B70BEA">
        <w:rPr>
          <w:sz w:val="24"/>
          <w:szCs w:val="24"/>
        </w:rPr>
        <w:t xml:space="preserve">No Rough Work Column </w:t>
      </w:r>
    </w:p>
    <w:p w14:paraId="71A9C476" w14:textId="77777777" w:rsidR="006807E4" w:rsidRPr="00B70BEA" w:rsidRDefault="006807E4" w:rsidP="00764255"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B70BEA">
        <w:rPr>
          <w:sz w:val="24"/>
          <w:szCs w:val="24"/>
        </w:rPr>
        <w:t>Two or four sections per page, all calculation to be shown within the section</w:t>
      </w:r>
    </w:p>
    <w:p w14:paraId="18E2E22C" w14:textId="77777777" w:rsidR="006807E4" w:rsidRPr="00B70BEA" w:rsidRDefault="006807E4" w:rsidP="00764255"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B70BEA">
        <w:rPr>
          <w:sz w:val="24"/>
          <w:szCs w:val="24"/>
        </w:rPr>
        <w:t xml:space="preserve">Must display units in use, e.g. cm, hrs, € etc. </w:t>
      </w:r>
    </w:p>
    <w:p w14:paraId="530B7CD6" w14:textId="77777777" w:rsidR="006807E4" w:rsidRPr="00B70BEA" w:rsidRDefault="006F7145" w:rsidP="00764255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B70BEA">
        <w:rPr>
          <w:sz w:val="24"/>
          <w:szCs w:val="24"/>
        </w:rPr>
        <w:t>Focus on a topic for two weeks</w:t>
      </w:r>
      <w:r w:rsidR="006807E4" w:rsidRPr="00B70BEA">
        <w:rPr>
          <w:sz w:val="24"/>
          <w:szCs w:val="24"/>
        </w:rPr>
        <w:t xml:space="preserve"> to be integrated into the strands being covered during that time</w:t>
      </w:r>
      <w:r w:rsidRPr="00B70BEA">
        <w:rPr>
          <w:sz w:val="24"/>
          <w:szCs w:val="24"/>
        </w:rPr>
        <w:t xml:space="preserve">, e.g. estimation, tables, fractions, shape. </w:t>
      </w:r>
    </w:p>
    <w:p w14:paraId="7AC10930" w14:textId="77777777" w:rsidR="006F7145" w:rsidRPr="00B70BEA" w:rsidRDefault="001363EC" w:rsidP="00764255">
      <w:pPr>
        <w:pStyle w:val="ListParagraph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B70BEA">
        <w:rPr>
          <w:sz w:val="24"/>
          <w:szCs w:val="24"/>
        </w:rPr>
        <w:t>Procedure to be devised to provide more information to p</w:t>
      </w:r>
      <w:r w:rsidR="00571E21" w:rsidRPr="00B70BEA">
        <w:rPr>
          <w:sz w:val="24"/>
          <w:szCs w:val="24"/>
        </w:rPr>
        <w:t>arents</w:t>
      </w:r>
      <w:r w:rsidRPr="00B70BEA">
        <w:rPr>
          <w:sz w:val="24"/>
          <w:szCs w:val="24"/>
        </w:rPr>
        <w:t xml:space="preserve"> on their children’s progress and approaches used in the school to teach the various topics.</w:t>
      </w:r>
    </w:p>
    <w:p w14:paraId="5A8A6268" w14:textId="77777777" w:rsidR="00BE37E4" w:rsidRDefault="00BE37E4" w:rsidP="00591AFF">
      <w:pPr>
        <w:rPr>
          <w:b/>
          <w:sz w:val="24"/>
          <w:u w:val="single"/>
        </w:rPr>
      </w:pPr>
    </w:p>
    <w:p w14:paraId="09EE263F" w14:textId="77777777" w:rsidR="00591AFF" w:rsidRPr="00BE37E4" w:rsidRDefault="00591AFF" w:rsidP="00591AFF">
      <w:pPr>
        <w:rPr>
          <w:b/>
          <w:sz w:val="24"/>
          <w:u w:val="single"/>
        </w:rPr>
      </w:pPr>
      <w:r w:rsidRPr="00BE37E4">
        <w:rPr>
          <w:b/>
          <w:sz w:val="24"/>
          <w:u w:val="single"/>
        </w:rPr>
        <w:lastRenderedPageBreak/>
        <w:t>The following Legislative and regulatory requirements need to be reviewed:</w:t>
      </w:r>
    </w:p>
    <w:p w14:paraId="103DF909" w14:textId="77777777" w:rsidR="00B91D63" w:rsidRDefault="00385A9C" w:rsidP="00385A9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Data Protection Policy</w:t>
      </w:r>
      <w:r w:rsidR="00E06013">
        <w:rPr>
          <w:sz w:val="24"/>
        </w:rPr>
        <w:t>, to be developed</w:t>
      </w:r>
    </w:p>
    <w:p w14:paraId="34877FF3" w14:textId="3277514F" w:rsidR="002907D6" w:rsidRPr="00BE37E4" w:rsidRDefault="00B70BEA" w:rsidP="001363EC">
      <w:pPr>
        <w:pStyle w:val="ListParagraph"/>
        <w:numPr>
          <w:ilvl w:val="0"/>
          <w:numId w:val="7"/>
        </w:numPr>
      </w:pPr>
      <w:r>
        <w:rPr>
          <w:sz w:val="24"/>
        </w:rPr>
        <w:t>Revised</w:t>
      </w:r>
      <w:r w:rsidR="001363EC" w:rsidRPr="001363EC">
        <w:rPr>
          <w:sz w:val="24"/>
        </w:rPr>
        <w:t xml:space="preserve"> </w:t>
      </w:r>
      <w:r w:rsidR="00B91D63" w:rsidRPr="001363EC">
        <w:rPr>
          <w:sz w:val="24"/>
        </w:rPr>
        <w:t xml:space="preserve">RSE Policy </w:t>
      </w:r>
      <w:r>
        <w:rPr>
          <w:sz w:val="24"/>
        </w:rPr>
        <w:t>drafted by</w:t>
      </w:r>
      <w:r w:rsidR="001363EC" w:rsidRPr="001363EC">
        <w:rPr>
          <w:sz w:val="24"/>
        </w:rPr>
        <w:t xml:space="preserve"> </w:t>
      </w:r>
      <w:r w:rsidR="001363EC">
        <w:rPr>
          <w:sz w:val="24"/>
        </w:rPr>
        <w:t>staff sub-</w:t>
      </w:r>
      <w:r w:rsidR="001363EC" w:rsidRPr="001363EC">
        <w:rPr>
          <w:sz w:val="24"/>
        </w:rPr>
        <w:t>committee.</w:t>
      </w:r>
      <w:r w:rsidR="00B91D63" w:rsidRPr="001363EC">
        <w:rPr>
          <w:sz w:val="24"/>
        </w:rPr>
        <w:t xml:space="preserve"> </w:t>
      </w:r>
      <w:r>
        <w:rPr>
          <w:sz w:val="24"/>
        </w:rPr>
        <w:t>Draft to be considered by sub committee of teachers, parents and Board of Management representatives with target of Board of Management ratification by January 2015.</w:t>
      </w:r>
    </w:p>
    <w:sectPr w:rsidR="002907D6" w:rsidRPr="00BE37E4" w:rsidSect="003515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40" w:bottom="567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31112" w14:textId="77777777" w:rsidR="00734E77" w:rsidRDefault="00734E77" w:rsidP="005613C9">
      <w:pPr>
        <w:spacing w:after="0" w:line="240" w:lineRule="auto"/>
      </w:pPr>
      <w:r>
        <w:separator/>
      </w:r>
    </w:p>
  </w:endnote>
  <w:endnote w:type="continuationSeparator" w:id="0">
    <w:p w14:paraId="671F8CEB" w14:textId="77777777" w:rsidR="00734E77" w:rsidRDefault="00734E77" w:rsidP="0056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51DA5" w14:textId="77777777" w:rsidR="00734E77" w:rsidRDefault="00734E77" w:rsidP="00734E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563787" w14:textId="77777777" w:rsidR="00734E77" w:rsidRDefault="00734E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F3774" w14:textId="77777777" w:rsidR="00734E77" w:rsidRDefault="00734E77" w:rsidP="00734E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EF2F60" w14:textId="77777777" w:rsidR="00734E77" w:rsidRDefault="00734E7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95D3B" w14:textId="77777777" w:rsidR="00734E77" w:rsidRDefault="00734E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45129" w14:textId="77777777" w:rsidR="00734E77" w:rsidRDefault="00734E77" w:rsidP="005613C9">
      <w:pPr>
        <w:spacing w:after="0" w:line="240" w:lineRule="auto"/>
      </w:pPr>
      <w:r>
        <w:separator/>
      </w:r>
    </w:p>
  </w:footnote>
  <w:footnote w:type="continuationSeparator" w:id="0">
    <w:p w14:paraId="4F757777" w14:textId="77777777" w:rsidR="00734E77" w:rsidRDefault="00734E77" w:rsidP="00561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BEB87" w14:textId="77777777" w:rsidR="00734E77" w:rsidRDefault="00734E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E3157" w14:textId="77777777" w:rsidR="00734E77" w:rsidRDefault="00734E7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8359C" w14:textId="77777777" w:rsidR="00734E77" w:rsidRDefault="00734E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72A"/>
    <w:multiLevelType w:val="hybridMultilevel"/>
    <w:tmpl w:val="06FA01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4368"/>
    <w:multiLevelType w:val="hybridMultilevel"/>
    <w:tmpl w:val="633C55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AAC"/>
    <w:multiLevelType w:val="hybridMultilevel"/>
    <w:tmpl w:val="DF74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2319E"/>
    <w:multiLevelType w:val="hybridMultilevel"/>
    <w:tmpl w:val="76C60A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1781C"/>
    <w:multiLevelType w:val="hybridMultilevel"/>
    <w:tmpl w:val="494EC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D50FE"/>
    <w:multiLevelType w:val="hybridMultilevel"/>
    <w:tmpl w:val="B43C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A3D90"/>
    <w:multiLevelType w:val="hybridMultilevel"/>
    <w:tmpl w:val="0A803F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63E36"/>
    <w:multiLevelType w:val="hybridMultilevel"/>
    <w:tmpl w:val="D450AC52"/>
    <w:lvl w:ilvl="0" w:tplc="D48EE2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16494"/>
    <w:multiLevelType w:val="hybridMultilevel"/>
    <w:tmpl w:val="FC8AFCC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D6E3C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B0074E6"/>
    <w:multiLevelType w:val="hybridMultilevel"/>
    <w:tmpl w:val="CB82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423C2"/>
    <w:multiLevelType w:val="hybridMultilevel"/>
    <w:tmpl w:val="076AB6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06777"/>
    <w:multiLevelType w:val="hybridMultilevel"/>
    <w:tmpl w:val="2BC6AE40"/>
    <w:lvl w:ilvl="0" w:tplc="79B22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150F18"/>
    <w:multiLevelType w:val="hybridMultilevel"/>
    <w:tmpl w:val="8B9E8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542BA"/>
    <w:multiLevelType w:val="hybridMultilevel"/>
    <w:tmpl w:val="87B6E0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1AFF"/>
    <w:rsid w:val="000B5F2E"/>
    <w:rsid w:val="000F1242"/>
    <w:rsid w:val="001363EC"/>
    <w:rsid w:val="001F4652"/>
    <w:rsid w:val="0027426C"/>
    <w:rsid w:val="002907D6"/>
    <w:rsid w:val="002E395C"/>
    <w:rsid w:val="002F4017"/>
    <w:rsid w:val="003133C2"/>
    <w:rsid w:val="003515DE"/>
    <w:rsid w:val="00356BC5"/>
    <w:rsid w:val="00385A9C"/>
    <w:rsid w:val="003B0212"/>
    <w:rsid w:val="003B1372"/>
    <w:rsid w:val="003B50A6"/>
    <w:rsid w:val="00470071"/>
    <w:rsid w:val="00537EA6"/>
    <w:rsid w:val="00544495"/>
    <w:rsid w:val="005613C9"/>
    <w:rsid w:val="00571E21"/>
    <w:rsid w:val="00591AFF"/>
    <w:rsid w:val="005E4664"/>
    <w:rsid w:val="0062667D"/>
    <w:rsid w:val="006807E4"/>
    <w:rsid w:val="006A30B9"/>
    <w:rsid w:val="006F7145"/>
    <w:rsid w:val="00734E77"/>
    <w:rsid w:val="007402B6"/>
    <w:rsid w:val="00764255"/>
    <w:rsid w:val="008946CF"/>
    <w:rsid w:val="0098286D"/>
    <w:rsid w:val="009D4477"/>
    <w:rsid w:val="00AA2151"/>
    <w:rsid w:val="00AD3CB8"/>
    <w:rsid w:val="00B70BEA"/>
    <w:rsid w:val="00B91D63"/>
    <w:rsid w:val="00BC61B8"/>
    <w:rsid w:val="00BC755F"/>
    <w:rsid w:val="00BE37E4"/>
    <w:rsid w:val="00C175EE"/>
    <w:rsid w:val="00DC4BFC"/>
    <w:rsid w:val="00DF4E47"/>
    <w:rsid w:val="00E019A6"/>
    <w:rsid w:val="00E06013"/>
    <w:rsid w:val="00F301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34B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FF"/>
    <w:pPr>
      <w:spacing w:after="200" w:line="276" w:lineRule="auto"/>
    </w:pPr>
    <w:rPr>
      <w:rFonts w:eastAsiaTheme="minorHAnsi"/>
      <w:sz w:val="22"/>
      <w:szCs w:val="22"/>
      <w:lang w:val="en-IE"/>
    </w:rPr>
  </w:style>
  <w:style w:type="paragraph" w:styleId="Heading3">
    <w:name w:val="heading 3"/>
    <w:basedOn w:val="Normal"/>
    <w:next w:val="Normal"/>
    <w:link w:val="Heading3Char"/>
    <w:qFormat/>
    <w:rsid w:val="006F714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AFF"/>
    <w:pPr>
      <w:ind w:left="720"/>
      <w:contextualSpacing/>
    </w:pPr>
  </w:style>
  <w:style w:type="character" w:styleId="Hyperlink">
    <w:name w:val="Hyperlink"/>
    <w:basedOn w:val="DefaultParagraphFont"/>
    <w:rsid w:val="00591AFF"/>
    <w:rPr>
      <w:color w:val="0000FF"/>
      <w:u w:val="single"/>
    </w:rPr>
  </w:style>
  <w:style w:type="paragraph" w:styleId="NoSpacing">
    <w:name w:val="No Spacing"/>
    <w:uiPriority w:val="99"/>
    <w:qFormat/>
    <w:rsid w:val="00591AFF"/>
    <w:rPr>
      <w:rFonts w:eastAsiaTheme="minorHAnsi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A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FF"/>
    <w:rPr>
      <w:rFonts w:ascii="Lucida Grande" w:eastAsiaTheme="minorHAnsi" w:hAnsi="Lucida Grande" w:cs="Lucida Grande"/>
      <w:sz w:val="18"/>
      <w:szCs w:val="18"/>
      <w:lang w:val="en-IE"/>
    </w:rPr>
  </w:style>
  <w:style w:type="character" w:customStyle="1" w:styleId="Heading3Char">
    <w:name w:val="Heading 3 Char"/>
    <w:basedOn w:val="DefaultParagraphFont"/>
    <w:link w:val="Heading3"/>
    <w:rsid w:val="006F7145"/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3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C9"/>
    <w:rPr>
      <w:rFonts w:eastAsiaTheme="minorHAnsi"/>
      <w:sz w:val="22"/>
      <w:szCs w:val="22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5613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C9"/>
    <w:rPr>
      <w:rFonts w:eastAsiaTheme="minorHAnsi"/>
      <w:sz w:val="22"/>
      <w:szCs w:val="22"/>
      <w:lang w:val="en-IE"/>
    </w:rPr>
  </w:style>
  <w:style w:type="table" w:styleId="TableGrid">
    <w:name w:val="Table Grid"/>
    <w:basedOn w:val="TableNormal"/>
    <w:uiPriority w:val="59"/>
    <w:rsid w:val="00274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515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FF"/>
    <w:pPr>
      <w:spacing w:after="200" w:line="276" w:lineRule="auto"/>
    </w:pPr>
    <w:rPr>
      <w:rFonts w:eastAsiaTheme="minorHAnsi"/>
      <w:sz w:val="22"/>
      <w:szCs w:val="22"/>
      <w:lang w:val="en-IE"/>
    </w:rPr>
  </w:style>
  <w:style w:type="paragraph" w:styleId="Heading3">
    <w:name w:val="heading 3"/>
    <w:basedOn w:val="Normal"/>
    <w:next w:val="Normal"/>
    <w:link w:val="Heading3Char"/>
    <w:qFormat/>
    <w:rsid w:val="006F714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AFF"/>
    <w:pPr>
      <w:ind w:left="720"/>
      <w:contextualSpacing/>
    </w:pPr>
  </w:style>
  <w:style w:type="character" w:styleId="Hyperlink">
    <w:name w:val="Hyperlink"/>
    <w:basedOn w:val="DefaultParagraphFont"/>
    <w:rsid w:val="00591AFF"/>
    <w:rPr>
      <w:color w:val="0000FF"/>
      <w:u w:val="single"/>
    </w:rPr>
  </w:style>
  <w:style w:type="paragraph" w:styleId="NoSpacing">
    <w:name w:val="No Spacing"/>
    <w:uiPriority w:val="99"/>
    <w:qFormat/>
    <w:rsid w:val="00591AFF"/>
    <w:rPr>
      <w:rFonts w:eastAsiaTheme="minorHAnsi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A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FF"/>
    <w:rPr>
      <w:rFonts w:ascii="Lucida Grande" w:eastAsiaTheme="minorHAnsi" w:hAnsi="Lucida Grande" w:cs="Lucida Grande"/>
      <w:sz w:val="18"/>
      <w:szCs w:val="18"/>
      <w:lang w:val="en-IE"/>
    </w:rPr>
  </w:style>
  <w:style w:type="character" w:customStyle="1" w:styleId="Heading3Char">
    <w:name w:val="Heading 3 Char"/>
    <w:basedOn w:val="DefaultParagraphFont"/>
    <w:link w:val="Heading3"/>
    <w:rsid w:val="006F7145"/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3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C9"/>
    <w:rPr>
      <w:rFonts w:eastAsiaTheme="minorHAnsi"/>
      <w:sz w:val="22"/>
      <w:szCs w:val="22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5613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C9"/>
    <w:rPr>
      <w:rFonts w:eastAsiaTheme="minorHAnsi"/>
      <w:sz w:val="22"/>
      <w:szCs w:val="22"/>
      <w:lang w:val="en-IE"/>
    </w:rPr>
  </w:style>
  <w:style w:type="table" w:styleId="TableGrid">
    <w:name w:val="Table Grid"/>
    <w:basedOn w:val="TableNormal"/>
    <w:uiPriority w:val="59"/>
    <w:rsid w:val="00274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4C8089-5299-804B-BBF6-2D1FC0B8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1015</Words>
  <Characters>5788</Characters>
  <Application>Microsoft Macintosh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Gilligan</dc:creator>
  <cp:keywords/>
  <dc:description/>
  <cp:lastModifiedBy>Jim Gilligan</cp:lastModifiedBy>
  <cp:revision>17</cp:revision>
  <cp:lastPrinted>2014-09-28T14:29:00Z</cp:lastPrinted>
  <dcterms:created xsi:type="dcterms:W3CDTF">2014-05-05T16:52:00Z</dcterms:created>
  <dcterms:modified xsi:type="dcterms:W3CDTF">2014-09-28T14:44:00Z</dcterms:modified>
</cp:coreProperties>
</file>